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R4-2521749</w:t>
      </w:r>
      <w:bookmarkStart w:id="5" w:name="_GoBack"/>
      <w:bookmarkEnd w:id="5"/>
      <w:r>
        <w:rPr>
          <w:rFonts w:hint="eastAsia" w:ascii="Arial" w:hAnsi="Arial" w:cs="Arial"/>
          <w:b/>
          <w:sz w:val="24"/>
          <w:szCs w:val="24"/>
        </w:rPr>
        <w:t xml:space="preserve">                       </w:t>
      </w:r>
    </w:p>
    <w:p w14:paraId="63E99DA1">
      <w:pPr>
        <w:jc w:val="left"/>
        <w:rPr>
          <w:rFonts w:ascii="Arial" w:hAnsi="Arial" w:cs="Arial"/>
          <w:b/>
          <w:sz w:val="24"/>
          <w:szCs w:val="24"/>
          <w:lang w:val="en-GB" w:eastAsia="en-GB"/>
        </w:rPr>
      </w:pPr>
      <w:r>
        <w:rPr>
          <w:rFonts w:hint="eastAsia" w:ascii="Arial" w:hAnsi="Arial" w:cs="Arial"/>
          <w:b/>
          <w:sz w:val="24"/>
          <w:szCs w:val="24"/>
          <w:lang w:val="en-US" w:eastAsia="zh-CN"/>
        </w:rPr>
        <w:t>Dallas,</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 1</w:t>
      </w:r>
      <w:r>
        <w:rPr>
          <w:rFonts w:hint="eastAsia" w:ascii="Arial" w:hAnsi="Arial" w:cs="Arial"/>
          <w:b/>
          <w:sz w:val="24"/>
          <w:szCs w:val="24"/>
          <w:lang w:val="en-US" w:eastAsia="zh-CN"/>
        </w:rPr>
        <w:t>7</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lang w:val="en-US" w:eastAsia="zh-CN"/>
        </w:rPr>
        <w:t>21st</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rPr>
        <w:t>202</w:t>
      </w:r>
      <w:r>
        <w:rPr>
          <w:rFonts w:hint="eastAsia" w:ascii="Arial" w:hAnsi="Arial" w:cs="Arial"/>
          <w:b/>
          <w:sz w:val="24"/>
          <w:szCs w:val="24"/>
        </w:rPr>
        <w:t>5</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coexistence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A285418">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699D6A97">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5B">
            <w:pPr>
              <w:keepNext w:val="0"/>
              <w:keepLines w:val="0"/>
              <w:suppressLineNumbers w:val="0"/>
              <w:spacing w:before="0" w:beforeAutospacing="0" w:afterAutospacing="0"/>
              <w:ind w:left="0" w:right="0"/>
              <w:rPr>
                <w:rFonts w:hint="default"/>
                <w:b/>
                <w:bCs/>
                <w:szCs w:val="22"/>
                <w:lang w:val="zh-CN"/>
              </w:rPr>
            </w:pPr>
            <w:r>
              <w:rPr>
                <w:rFonts w:hint="default"/>
                <w:b/>
                <w:bCs/>
                <w:szCs w:val="22"/>
                <w:lang w:val="zh-CN"/>
              </w:rPr>
              <w:t>Issue 2-1-1: Coexistence studies</w:t>
            </w:r>
          </w:p>
          <w:p w14:paraId="49873A5C">
            <w:pPr>
              <w:keepNext w:val="0"/>
              <w:keepLines w:val="0"/>
              <w:suppressLineNumbers w:val="0"/>
              <w:spacing w:before="0" w:beforeAutospacing="0" w:afterAutospacing="0"/>
              <w:ind w:left="0" w:right="0"/>
              <w:rPr>
                <w:rFonts w:hint="default"/>
                <w:b/>
                <w:bCs/>
                <w:szCs w:val="22"/>
                <w:lang w:val="zh-CN"/>
              </w:rPr>
            </w:pPr>
            <w:r>
              <w:rPr>
                <w:rFonts w:hint="default"/>
                <w:b/>
                <w:bCs/>
                <w:szCs w:val="22"/>
                <w:lang w:val="zh-CN"/>
              </w:rPr>
              <w:t xml:space="preserve">Way Forward: </w:t>
            </w:r>
          </w:p>
          <w:p w14:paraId="49873A5D">
            <w:pPr>
              <w:pStyle w:val="37"/>
              <w:keepNext w:val="0"/>
              <w:keepLines w:val="0"/>
              <w:suppressLineNumbers w:val="0"/>
              <w:overflowPunct/>
              <w:autoSpaceDE/>
              <w:autoSpaceDN/>
              <w:adjustRightInd/>
              <w:spacing w:before="0" w:beforeAutospacing="0" w:after="120" w:afterAutospacing="0"/>
              <w:ind w:left="0" w:right="0" w:firstLine="284" w:firstLineChars="0"/>
              <w:textAlignment w:val="auto"/>
              <w:rPr>
                <w:rFonts w:hint="default" w:eastAsia="宋体"/>
                <w:szCs w:val="22"/>
                <w:lang w:val="en-US"/>
              </w:rPr>
            </w:pPr>
            <w:r>
              <w:rPr>
                <w:rFonts w:hint="default" w:eastAsia="宋体"/>
                <w:szCs w:val="22"/>
                <w:lang w:val="en-US"/>
              </w:rPr>
              <w:t>List of candidate frequencies: 700 MHz, 2 GHz, 4 GHz, 7 GHz, 15 GHz and 30 GHz.</w:t>
            </w:r>
          </w:p>
          <w:p w14:paraId="49873A5E">
            <w:pPr>
              <w:pStyle w:val="37"/>
              <w:keepNext w:val="0"/>
              <w:keepLines w:val="0"/>
              <w:suppressLineNumbers w:val="0"/>
              <w:overflowPunct/>
              <w:autoSpaceDE/>
              <w:autoSpaceDN/>
              <w:adjustRightInd/>
              <w:spacing w:before="0" w:beforeAutospacing="0" w:after="120" w:afterAutospacing="0"/>
              <w:ind w:left="0" w:right="0" w:firstLine="284" w:firstLineChars="0"/>
              <w:textAlignment w:val="auto"/>
              <w:rPr>
                <w:rFonts w:hint="default" w:eastAsia="宋体"/>
                <w:szCs w:val="22"/>
                <w:lang w:val="en-US"/>
              </w:rPr>
            </w:pPr>
            <w:r>
              <w:rPr>
                <w:rFonts w:hint="default" w:eastAsia="宋体"/>
                <w:szCs w:val="22"/>
                <w:lang w:val="en-US"/>
              </w:rPr>
              <w:t>For each exemplary frequency, companies proposing to redo coexistence studies should:</w:t>
            </w:r>
          </w:p>
          <w:p w14:paraId="49873A5F">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2"/>
                <w:lang w:val="en-US"/>
              </w:rPr>
            </w:pPr>
            <w:r>
              <w:rPr>
                <w:rFonts w:hint="default" w:eastAsia="宋体"/>
                <w:szCs w:val="22"/>
                <w:lang w:val="en-US"/>
              </w:rPr>
              <w:t xml:space="preserve">Identify the key assumptions differences (comparing to the assumptions used when RAN4 did the coex study e.g. the work done in TR 38.921 for </w:t>
            </w:r>
            <w:r>
              <w:rPr>
                <w:rFonts w:hint="default"/>
                <w:lang w:val="en-US"/>
              </w:rPr>
              <w:t>6.425-7.125GHz</w:t>
            </w:r>
          </w:p>
          <w:p w14:paraId="49873A60">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2"/>
                <w:lang w:val="en-US"/>
              </w:rPr>
            </w:pPr>
            <w:r>
              <w:rPr>
                <w:rFonts w:hint="default" w:eastAsia="宋体"/>
                <w:szCs w:val="22"/>
                <w:lang w:val="en-US"/>
              </w:rPr>
              <w:t>Identify the potential impacts on the conclusions of previous coex studies (e.g. how much ACLR</w:t>
            </w:r>
            <w:r>
              <w:rPr>
                <w:rFonts w:hint="default" w:eastAsia="宋体"/>
                <w:szCs w:val="22"/>
                <w:lang w:val="en-US" w:eastAsia="zh-CN"/>
              </w:rPr>
              <w:t>/ACS</w:t>
            </w:r>
            <w:r>
              <w:rPr>
                <w:rFonts w:hint="default" w:eastAsia="宋体"/>
                <w:szCs w:val="22"/>
                <w:lang w:val="en-US"/>
              </w:rPr>
              <w:t xml:space="preserve"> </w:t>
            </w:r>
            <w:r>
              <w:rPr>
                <w:rFonts w:hint="default" w:eastAsia="宋体"/>
                <w:szCs w:val="22"/>
                <w:lang w:val="en-US" w:eastAsia="zh-CN"/>
              </w:rPr>
              <w:t>difference</w:t>
            </w:r>
            <w:r>
              <w:rPr>
                <w:rFonts w:hint="default" w:eastAsia="宋体"/>
                <w:szCs w:val="22"/>
                <w:lang w:val="en-US"/>
              </w:rPr>
              <w:t xml:space="preserve"> is expected).</w:t>
            </w:r>
          </w:p>
          <w:p w14:paraId="34159F60">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val="en-US" w:eastAsia="zh-CN"/>
                <w14:textFill>
                  <w14:solidFill>
                    <w14:schemeClr w14:val="tx1"/>
                  </w14:solidFill>
                </w14:textFill>
              </w:rPr>
            </w:pPr>
            <w:r>
              <w:rPr>
                <w:rFonts w:hint="default" w:eastAsia="宋体"/>
                <w:szCs w:val="22"/>
                <w:lang w:val="en-US"/>
              </w:rPr>
              <w:t>Identify the next steps (update existing requirements? New requirements/new type? Regulation impacts?).</w:t>
            </w:r>
          </w:p>
        </w:tc>
      </w:tr>
    </w:tbl>
    <w:p w14:paraId="008DBA85">
      <w:pPr>
        <w:pStyle w:val="58"/>
        <w:tabs>
          <w:tab w:val="left" w:pos="567"/>
          <w:tab w:val="clear" w:pos="1985"/>
        </w:tabs>
        <w:adjustRightInd w:val="0"/>
        <w:ind w:left="510" w:hanging="510"/>
        <w:rPr>
          <w:rFonts w:eastAsia="Times New Roman"/>
        </w:rPr>
      </w:pPr>
      <w:bookmarkStart w:id="1" w:name="OLE_LINK14"/>
      <w:bookmarkStart w:id="2" w:name="OLE_LINK10"/>
      <w:bookmarkStart w:id="3" w:name="OLE_LINK13"/>
      <w:bookmarkStart w:id="4" w:name="OLE_LINK20"/>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3F52D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Coexistence study for 6GR study</w:t>
      </w:r>
    </w:p>
    <w:p w14:paraId="4AD8E3F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2.1.1. Background information on coexistence study in 4G and 5G phase</w:t>
      </w:r>
    </w:p>
    <w:p w14:paraId="08674972">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In the following table 1, we basically summarize the history of TN coexistence study in the past. In the following section, we want to further elaborate more on the detailed background of antenna modelling used for coexistence study in previous release.</w:t>
      </w:r>
    </w:p>
    <w:p w14:paraId="5213E6CE">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xml:space="preserve">In the early stage of LTE phase e.g. Rel-8, only passive antenna with legacy RRU assumption inherited from UTRA phase is considered for the coexistence study. For elevation domain, there was no antenna pattern assumed even at the beginning. The antenna pattern for elevation domain was introduced at the late stage (probably during the AAS SI phase). </w:t>
      </w:r>
    </w:p>
    <w:p w14:paraId="0DA2A088">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 xml:space="preserve">With the BS antenna technology development, in Rel-11 LTE-A phase, one study item for AAS BS was approved at 2011 and then continued with 2 release extensive study. Antenna modelling without sub-array configuration is agreed firstly and captured in TR 38.840 and antenna modelling was further improved with typical sub-array configuration which was originated from the 6GHz and 10GHz coexistence study in Rel-17. It should be noted that in 6GHz and 10GHz coexistence study as captured in TR 38.921, antenna configuration is still based on assumption of without sub-array configuration. In the Rel-19, 15GHz coexistence study, Rel-19 U6GHz EEIRP mask evaluation and Rel-19 coexistence spurious limit evaluation, all of these evaluation cases has already considered the typical antenna configuration with the sub-array assumption. </w:t>
      </w:r>
    </w:p>
    <w:p w14:paraId="2B6A56EC">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In Rel-14 NR SI, it was agreed to reuse the LTE ACLR/ACS requirement for NR without any further coexistence study directly. However as we shown in the following table, the coexistence study in LTE is focusing on 2GHz operating frequency and based on passive antenna at Rel-8 and based on AAS antenna modelling without sub-array configuration for UE specific beamforming at Rel-13. In addition, UE power class is also based on PC3 for eMBB UE in the past without considering PC2 as specified in FR1 FDD/TDD bands and PC1.5 for FR1 TDD bands. </w:t>
      </w:r>
    </w:p>
    <w:p w14:paraId="5FAB4044">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In addition, as extracted from TR 38.803, the simulation assumption for FR2 BS and UE (e.g. maximum transmission power assumption) is not fully correct which was pointed out at NR WI phase. In 6GR phase, it is reasonable to conduct more appropriate coexistence evaluation again to figure out the ACLR/ACS requirements.</w:t>
      </w:r>
    </w:p>
    <w:p w14:paraId="28741D49">
      <w:pPr>
        <w:pStyle w:val="48"/>
      </w:pPr>
      <w:r>
        <w:rPr>
          <w:rFonts w:hint="eastAsia"/>
        </w:rPr>
        <w:t xml:space="preserve">Table </w:t>
      </w:r>
      <w:r>
        <w:rPr>
          <w:rFonts w:hint="eastAsia"/>
          <w:lang w:eastAsia="ja-JP"/>
        </w:rPr>
        <w:t>5.2.8-1</w:t>
      </w:r>
      <w:r>
        <w:rPr>
          <w:rFonts w:hint="eastAsia"/>
        </w:rPr>
        <w:t xml:space="preserve">: </w:t>
      </w:r>
      <w:r>
        <w:rPr>
          <w:rFonts w:hint="eastAsia"/>
          <w:lang w:eastAsia="ja-JP"/>
        </w:rPr>
        <w:t>Other simulation parameters</w:t>
      </w:r>
    </w:p>
    <w:tbl>
      <w:tblPr>
        <w:tblStyle w:val="26"/>
        <w:tblW w:w="0" w:type="auto"/>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2349"/>
        <w:gridCol w:w="2348"/>
        <w:gridCol w:w="2349"/>
      </w:tblGrid>
      <w:tr w14:paraId="1F9F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0F7E06C8">
            <w:pPr>
              <w:pStyle w:val="38"/>
              <w:suppressLineNumbers w:val="0"/>
              <w:spacing w:before="0" w:beforeAutospacing="0" w:afterAutospacing="0"/>
              <w:ind w:left="0" w:right="0"/>
              <w:rPr>
                <w:rFonts w:hint="default"/>
                <w:lang w:eastAsia="ja-JP"/>
              </w:rPr>
            </w:pPr>
            <w:r>
              <w:rPr>
                <w:rFonts w:hint="eastAsia"/>
                <w:lang w:eastAsia="ja-JP"/>
              </w:rPr>
              <w:t>Parameters</w:t>
            </w:r>
          </w:p>
        </w:tc>
        <w:tc>
          <w:tcPr>
            <w:tcW w:w="2349" w:type="dxa"/>
            <w:shd w:val="clear" w:color="auto" w:fill="auto"/>
          </w:tcPr>
          <w:p w14:paraId="74E71BB4">
            <w:pPr>
              <w:pStyle w:val="38"/>
              <w:suppressLineNumbers w:val="0"/>
              <w:spacing w:before="0" w:beforeAutospacing="0" w:afterAutospacing="0"/>
              <w:ind w:left="0" w:right="0"/>
              <w:rPr>
                <w:rFonts w:hint="default"/>
                <w:lang w:eastAsia="ja-JP"/>
              </w:rPr>
            </w:pPr>
            <w:r>
              <w:rPr>
                <w:rFonts w:hint="eastAsia"/>
                <w:lang w:eastAsia="ja-JP"/>
              </w:rPr>
              <w:t>Indoor</w:t>
            </w:r>
          </w:p>
        </w:tc>
        <w:tc>
          <w:tcPr>
            <w:tcW w:w="2348" w:type="dxa"/>
            <w:shd w:val="clear" w:color="auto" w:fill="auto"/>
          </w:tcPr>
          <w:p w14:paraId="4AB0BE83">
            <w:pPr>
              <w:pStyle w:val="38"/>
              <w:suppressLineNumbers w:val="0"/>
              <w:spacing w:before="0" w:beforeAutospacing="0" w:afterAutospacing="0"/>
              <w:ind w:left="0" w:right="0"/>
              <w:rPr>
                <w:rFonts w:hint="default"/>
                <w:lang w:eastAsia="ja-JP"/>
              </w:rPr>
            </w:pPr>
            <w:r>
              <w:rPr>
                <w:rFonts w:hint="eastAsia"/>
                <w:lang w:eastAsia="ja-JP"/>
              </w:rPr>
              <w:t>Urban macro</w:t>
            </w:r>
          </w:p>
        </w:tc>
        <w:tc>
          <w:tcPr>
            <w:tcW w:w="2349" w:type="dxa"/>
            <w:shd w:val="clear" w:color="auto" w:fill="auto"/>
          </w:tcPr>
          <w:p w14:paraId="21848EA7">
            <w:pPr>
              <w:pStyle w:val="38"/>
              <w:suppressLineNumbers w:val="0"/>
              <w:spacing w:before="0" w:beforeAutospacing="0" w:afterAutospacing="0"/>
              <w:ind w:left="0" w:right="0"/>
              <w:rPr>
                <w:rFonts w:hint="default"/>
                <w:lang w:eastAsia="ja-JP"/>
              </w:rPr>
            </w:pPr>
            <w:r>
              <w:rPr>
                <w:rFonts w:hint="eastAsia"/>
                <w:lang w:eastAsia="ja-JP"/>
              </w:rPr>
              <w:t>Dense urban</w:t>
            </w:r>
          </w:p>
        </w:tc>
      </w:tr>
      <w:tr w14:paraId="3AF4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4915E0A3">
            <w:pPr>
              <w:pStyle w:val="40"/>
              <w:suppressLineNumbers w:val="0"/>
              <w:spacing w:before="0" w:beforeAutospacing="0" w:afterAutospacing="0"/>
              <w:ind w:left="0" w:right="0"/>
              <w:rPr>
                <w:rFonts w:hint="default"/>
                <w:b/>
                <w:lang w:eastAsia="ja-JP"/>
              </w:rPr>
            </w:pPr>
            <w:r>
              <w:rPr>
                <w:rFonts w:hint="eastAsia"/>
                <w:b/>
                <w:lang w:eastAsia="ja-JP"/>
              </w:rPr>
              <w:t>Channel bandwidth</w:t>
            </w:r>
          </w:p>
        </w:tc>
        <w:tc>
          <w:tcPr>
            <w:tcW w:w="2349" w:type="dxa"/>
            <w:shd w:val="clear" w:color="auto" w:fill="auto"/>
          </w:tcPr>
          <w:p w14:paraId="1C1BB86C">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8" w:type="dxa"/>
            <w:shd w:val="clear" w:color="auto" w:fill="auto"/>
          </w:tcPr>
          <w:p w14:paraId="6FFBE6A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9" w:type="dxa"/>
            <w:shd w:val="clear" w:color="auto" w:fill="auto"/>
          </w:tcPr>
          <w:p w14:paraId="08A53A52">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r>
      <w:tr w14:paraId="3671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4983904C">
            <w:pPr>
              <w:pStyle w:val="40"/>
              <w:suppressLineNumbers w:val="0"/>
              <w:spacing w:before="0" w:beforeAutospacing="0" w:afterAutospacing="0"/>
              <w:ind w:left="0" w:right="0"/>
              <w:rPr>
                <w:rFonts w:hint="default"/>
                <w:b/>
                <w:lang w:eastAsia="ja-JP"/>
              </w:rPr>
            </w:pPr>
            <w:r>
              <w:rPr>
                <w:rFonts w:hint="eastAsia"/>
                <w:b/>
                <w:lang w:eastAsia="ja-JP"/>
              </w:rPr>
              <w:t>Scheduled channel bandwidth per UE (DL)</w:t>
            </w:r>
          </w:p>
        </w:tc>
        <w:tc>
          <w:tcPr>
            <w:tcW w:w="2349" w:type="dxa"/>
            <w:shd w:val="clear" w:color="auto" w:fill="auto"/>
          </w:tcPr>
          <w:p w14:paraId="4B6045A5">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8" w:type="dxa"/>
            <w:shd w:val="clear" w:color="auto" w:fill="auto"/>
          </w:tcPr>
          <w:p w14:paraId="5BCF62AD">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9" w:type="dxa"/>
            <w:shd w:val="clear" w:color="auto" w:fill="auto"/>
          </w:tcPr>
          <w:p w14:paraId="1E98210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r>
      <w:tr w14:paraId="6160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7BF5C1A2">
            <w:pPr>
              <w:pStyle w:val="40"/>
              <w:suppressLineNumbers w:val="0"/>
              <w:spacing w:before="0" w:beforeAutospacing="0" w:afterAutospacing="0"/>
              <w:ind w:left="0" w:right="0"/>
              <w:rPr>
                <w:rFonts w:hint="default"/>
                <w:b/>
                <w:lang w:eastAsia="ja-JP"/>
              </w:rPr>
            </w:pPr>
            <w:r>
              <w:rPr>
                <w:rFonts w:hint="eastAsia"/>
                <w:b/>
                <w:lang w:eastAsia="ja-JP"/>
              </w:rPr>
              <w:t>Scheduled channel bandwidth per UE (UL)</w:t>
            </w:r>
          </w:p>
        </w:tc>
        <w:tc>
          <w:tcPr>
            <w:tcW w:w="2349" w:type="dxa"/>
            <w:shd w:val="clear" w:color="auto" w:fill="auto"/>
          </w:tcPr>
          <w:p w14:paraId="3FAE6CB5">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8" w:type="dxa"/>
            <w:shd w:val="clear" w:color="auto" w:fill="auto"/>
          </w:tcPr>
          <w:p w14:paraId="527E87B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c>
          <w:tcPr>
            <w:tcW w:w="2349" w:type="dxa"/>
            <w:shd w:val="clear" w:color="auto" w:fill="auto"/>
          </w:tcPr>
          <w:p w14:paraId="329FB2E8">
            <w:pPr>
              <w:pStyle w:val="40"/>
              <w:suppressLineNumbers w:val="0"/>
              <w:spacing w:before="0" w:beforeAutospacing="0" w:afterAutospacing="0"/>
              <w:ind w:left="0" w:right="0"/>
              <w:rPr>
                <w:rFonts w:hint="default"/>
                <w:lang w:eastAsia="ja-JP"/>
              </w:rPr>
            </w:pPr>
            <w:r>
              <w:rPr>
                <w:rFonts w:hint="eastAsia"/>
                <w:lang w:eastAsia="ja-JP"/>
              </w:rPr>
              <w:t>200MH</w:t>
            </w:r>
            <w:r>
              <w:rPr>
                <w:rFonts w:hint="default"/>
                <w:lang w:eastAsia="ja-JP"/>
              </w:rPr>
              <w:t>z</w:t>
            </w:r>
          </w:p>
        </w:tc>
      </w:tr>
      <w:tr w14:paraId="6357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728385CD">
            <w:pPr>
              <w:pStyle w:val="40"/>
              <w:suppressLineNumbers w:val="0"/>
              <w:spacing w:before="0" w:beforeAutospacing="0" w:afterAutospacing="0"/>
              <w:ind w:left="0" w:right="0"/>
              <w:rPr>
                <w:rFonts w:hint="default"/>
                <w:b/>
                <w:lang w:eastAsia="ja-JP"/>
              </w:rPr>
            </w:pPr>
            <w:r>
              <w:rPr>
                <w:rFonts w:hint="default"/>
                <w:b/>
                <w:lang w:eastAsia="ja-JP"/>
              </w:rPr>
              <w:t>T</w:t>
            </w:r>
            <w:r>
              <w:rPr>
                <w:rFonts w:hint="eastAsia"/>
                <w:b/>
                <w:lang w:eastAsia="ja-JP"/>
              </w:rPr>
              <w:t>he number of active UE (DL)</w:t>
            </w:r>
          </w:p>
        </w:tc>
        <w:tc>
          <w:tcPr>
            <w:tcW w:w="2349" w:type="dxa"/>
            <w:shd w:val="clear" w:color="auto" w:fill="auto"/>
          </w:tcPr>
          <w:p w14:paraId="4CEA25E4">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8" w:type="dxa"/>
            <w:shd w:val="clear" w:color="auto" w:fill="auto"/>
          </w:tcPr>
          <w:p w14:paraId="79B4CC2D">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9" w:type="dxa"/>
            <w:shd w:val="clear" w:color="auto" w:fill="auto"/>
          </w:tcPr>
          <w:p w14:paraId="2A7B8AB6">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r>
      <w:tr w14:paraId="3826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0AD172C2">
            <w:pPr>
              <w:pStyle w:val="40"/>
              <w:suppressLineNumbers w:val="0"/>
              <w:spacing w:before="0" w:beforeAutospacing="0" w:afterAutospacing="0"/>
              <w:ind w:left="0" w:right="0"/>
              <w:rPr>
                <w:rFonts w:hint="default" w:eastAsia="宋体"/>
                <w:b/>
                <w:lang w:eastAsia="ja-JP"/>
              </w:rPr>
            </w:pPr>
            <w:r>
              <w:rPr>
                <w:rFonts w:hint="default"/>
                <w:b/>
                <w:lang w:eastAsia="ja-JP"/>
              </w:rPr>
              <w:t>T</w:t>
            </w:r>
            <w:r>
              <w:rPr>
                <w:rFonts w:hint="eastAsia"/>
                <w:b/>
                <w:lang w:eastAsia="ja-JP"/>
              </w:rPr>
              <w:t>he number of active UE (UL)</w:t>
            </w:r>
          </w:p>
        </w:tc>
        <w:tc>
          <w:tcPr>
            <w:tcW w:w="2349" w:type="dxa"/>
            <w:shd w:val="clear" w:color="auto" w:fill="auto"/>
          </w:tcPr>
          <w:p w14:paraId="768B09FE">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8" w:type="dxa"/>
            <w:shd w:val="clear" w:color="auto" w:fill="auto"/>
          </w:tcPr>
          <w:p w14:paraId="3A4E87EA">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c>
          <w:tcPr>
            <w:tcW w:w="2349" w:type="dxa"/>
            <w:shd w:val="clear" w:color="auto" w:fill="auto"/>
          </w:tcPr>
          <w:p w14:paraId="633782C9">
            <w:pPr>
              <w:pStyle w:val="40"/>
              <w:suppressLineNumbers w:val="0"/>
              <w:spacing w:before="0" w:beforeAutospacing="0" w:afterAutospacing="0"/>
              <w:ind w:left="0" w:right="0"/>
              <w:rPr>
                <w:rFonts w:hint="default"/>
                <w:lang w:eastAsia="ja-JP"/>
              </w:rPr>
            </w:pPr>
            <w:r>
              <w:rPr>
                <w:rFonts w:hint="default"/>
                <w:lang w:eastAsia="ja-JP"/>
              </w:rPr>
              <w:t>S</w:t>
            </w:r>
            <w:r>
              <w:rPr>
                <w:rFonts w:hint="eastAsia"/>
                <w:lang w:eastAsia="ja-JP"/>
              </w:rPr>
              <w:t>ame as the number of BS beam</w:t>
            </w:r>
          </w:p>
        </w:tc>
      </w:tr>
      <w:tr w14:paraId="023D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629B0DFB">
            <w:pPr>
              <w:pStyle w:val="40"/>
              <w:suppressLineNumbers w:val="0"/>
              <w:spacing w:before="0" w:beforeAutospacing="0" w:afterAutospacing="0"/>
              <w:ind w:left="0" w:right="0"/>
              <w:rPr>
                <w:rFonts w:hint="default" w:eastAsia="宋体"/>
                <w:b/>
                <w:lang w:eastAsia="ja-JP"/>
              </w:rPr>
            </w:pPr>
            <w:r>
              <w:rPr>
                <w:rFonts w:hint="eastAsia" w:eastAsia="宋体"/>
                <w:b/>
                <w:lang w:eastAsia="ja-JP"/>
              </w:rPr>
              <w:t>Traffic model</w:t>
            </w:r>
          </w:p>
        </w:tc>
        <w:tc>
          <w:tcPr>
            <w:tcW w:w="2349" w:type="dxa"/>
            <w:shd w:val="clear" w:color="auto" w:fill="auto"/>
          </w:tcPr>
          <w:p w14:paraId="49A3847E">
            <w:pPr>
              <w:pStyle w:val="40"/>
              <w:suppressLineNumbers w:val="0"/>
              <w:spacing w:before="0" w:beforeAutospacing="0" w:afterAutospacing="0"/>
              <w:ind w:left="0" w:right="0"/>
              <w:rPr>
                <w:rFonts w:hint="default"/>
                <w:lang w:eastAsia="ja-JP"/>
              </w:rPr>
            </w:pPr>
            <w:r>
              <w:rPr>
                <w:rFonts w:hint="default"/>
                <w:lang w:eastAsia="ja-JP"/>
              </w:rPr>
              <w:t>F</w:t>
            </w:r>
            <w:r>
              <w:rPr>
                <w:rFonts w:hint="eastAsia"/>
                <w:lang w:eastAsia="ja-JP"/>
              </w:rPr>
              <w:t>ull buffer</w:t>
            </w:r>
          </w:p>
        </w:tc>
        <w:tc>
          <w:tcPr>
            <w:tcW w:w="2348" w:type="dxa"/>
            <w:shd w:val="clear" w:color="auto" w:fill="auto"/>
          </w:tcPr>
          <w:p w14:paraId="373873CA">
            <w:pPr>
              <w:pStyle w:val="40"/>
              <w:suppressLineNumbers w:val="0"/>
              <w:spacing w:before="0" w:beforeAutospacing="0" w:afterAutospacing="0"/>
              <w:ind w:left="0" w:right="0"/>
              <w:rPr>
                <w:rFonts w:hint="default" w:eastAsia="宋体"/>
              </w:rPr>
            </w:pPr>
            <w:r>
              <w:rPr>
                <w:rFonts w:hint="default"/>
                <w:lang w:eastAsia="ja-JP"/>
              </w:rPr>
              <w:t>F</w:t>
            </w:r>
            <w:r>
              <w:rPr>
                <w:rFonts w:hint="eastAsia"/>
                <w:lang w:eastAsia="ja-JP"/>
              </w:rPr>
              <w:t>ull buffer</w:t>
            </w:r>
          </w:p>
        </w:tc>
        <w:tc>
          <w:tcPr>
            <w:tcW w:w="2349" w:type="dxa"/>
            <w:shd w:val="clear" w:color="auto" w:fill="auto"/>
          </w:tcPr>
          <w:p w14:paraId="3382A8F7">
            <w:pPr>
              <w:pStyle w:val="40"/>
              <w:suppressLineNumbers w:val="0"/>
              <w:spacing w:before="0" w:beforeAutospacing="0" w:afterAutospacing="0"/>
              <w:ind w:left="0" w:right="0"/>
              <w:rPr>
                <w:rFonts w:hint="default" w:eastAsia="宋体"/>
              </w:rPr>
            </w:pPr>
            <w:r>
              <w:rPr>
                <w:rFonts w:hint="default"/>
                <w:lang w:eastAsia="ja-JP"/>
              </w:rPr>
              <w:t>F</w:t>
            </w:r>
            <w:r>
              <w:rPr>
                <w:rFonts w:hint="eastAsia"/>
                <w:lang w:eastAsia="ja-JP"/>
              </w:rPr>
              <w:t>ull buffer</w:t>
            </w:r>
          </w:p>
        </w:tc>
      </w:tr>
      <w:tr w14:paraId="5277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48C50CEF">
            <w:pPr>
              <w:pStyle w:val="40"/>
              <w:suppressLineNumbers w:val="0"/>
              <w:spacing w:before="0" w:beforeAutospacing="0" w:afterAutospacing="0"/>
              <w:ind w:left="0" w:right="0"/>
              <w:rPr>
                <w:rFonts w:hint="default"/>
                <w:b/>
                <w:lang w:eastAsia="ja-JP"/>
              </w:rPr>
            </w:pPr>
            <w:r>
              <w:rPr>
                <w:rFonts w:hint="eastAsia"/>
                <w:b/>
                <w:lang w:eastAsia="ja-JP"/>
              </w:rPr>
              <w:t>DL power control</w:t>
            </w:r>
          </w:p>
        </w:tc>
        <w:tc>
          <w:tcPr>
            <w:tcW w:w="2349" w:type="dxa"/>
            <w:shd w:val="clear" w:color="auto" w:fill="auto"/>
          </w:tcPr>
          <w:p w14:paraId="671E1B9F">
            <w:pPr>
              <w:pStyle w:val="40"/>
              <w:suppressLineNumbers w:val="0"/>
              <w:spacing w:before="0" w:beforeAutospacing="0" w:afterAutospacing="0"/>
              <w:ind w:left="0" w:right="0"/>
              <w:rPr>
                <w:rFonts w:hint="default"/>
                <w:lang w:eastAsia="ja-JP"/>
              </w:rPr>
            </w:pPr>
            <w:r>
              <w:rPr>
                <w:rFonts w:hint="eastAsia"/>
                <w:lang w:eastAsia="ja-JP"/>
              </w:rPr>
              <w:t>NO</w:t>
            </w:r>
          </w:p>
        </w:tc>
        <w:tc>
          <w:tcPr>
            <w:tcW w:w="2348" w:type="dxa"/>
            <w:shd w:val="clear" w:color="auto" w:fill="auto"/>
          </w:tcPr>
          <w:p w14:paraId="31288EFF">
            <w:pPr>
              <w:pStyle w:val="40"/>
              <w:suppressLineNumbers w:val="0"/>
              <w:spacing w:before="0" w:beforeAutospacing="0" w:afterAutospacing="0"/>
              <w:ind w:left="0" w:right="0"/>
              <w:rPr>
                <w:rFonts w:hint="default"/>
                <w:lang w:eastAsia="ja-JP"/>
              </w:rPr>
            </w:pPr>
            <w:r>
              <w:rPr>
                <w:rFonts w:hint="eastAsia"/>
                <w:lang w:eastAsia="ja-JP"/>
              </w:rPr>
              <w:t>NO</w:t>
            </w:r>
          </w:p>
        </w:tc>
        <w:tc>
          <w:tcPr>
            <w:tcW w:w="2349" w:type="dxa"/>
            <w:shd w:val="clear" w:color="auto" w:fill="auto"/>
          </w:tcPr>
          <w:p w14:paraId="5CC8892F">
            <w:pPr>
              <w:pStyle w:val="40"/>
              <w:suppressLineNumbers w:val="0"/>
              <w:spacing w:before="0" w:beforeAutospacing="0" w:afterAutospacing="0"/>
              <w:ind w:left="0" w:right="0"/>
              <w:rPr>
                <w:rFonts w:hint="default"/>
                <w:lang w:eastAsia="ja-JP"/>
              </w:rPr>
            </w:pPr>
            <w:r>
              <w:rPr>
                <w:rFonts w:hint="eastAsia"/>
                <w:lang w:eastAsia="ja-JP"/>
              </w:rPr>
              <w:t>NO</w:t>
            </w:r>
          </w:p>
        </w:tc>
      </w:tr>
      <w:tr w14:paraId="68AB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35C202FE">
            <w:pPr>
              <w:pStyle w:val="40"/>
              <w:suppressLineNumbers w:val="0"/>
              <w:spacing w:before="0" w:beforeAutospacing="0" w:afterAutospacing="0"/>
              <w:ind w:left="0" w:right="0"/>
              <w:rPr>
                <w:rFonts w:hint="default"/>
                <w:b/>
                <w:lang w:eastAsia="ja-JP"/>
              </w:rPr>
            </w:pPr>
            <w:r>
              <w:rPr>
                <w:rFonts w:hint="eastAsia" w:eastAsia="宋体"/>
                <w:b/>
                <w:lang w:eastAsia="ja-JP"/>
              </w:rPr>
              <w:t>UL power control</w:t>
            </w:r>
          </w:p>
        </w:tc>
        <w:tc>
          <w:tcPr>
            <w:tcW w:w="2349" w:type="dxa"/>
            <w:shd w:val="clear" w:color="auto" w:fill="auto"/>
          </w:tcPr>
          <w:p w14:paraId="0BF377A3">
            <w:pPr>
              <w:pStyle w:val="40"/>
              <w:suppressLineNumbers w:val="0"/>
              <w:spacing w:before="0" w:beforeAutospacing="0" w:afterAutospacing="0"/>
              <w:ind w:left="0" w:right="0"/>
              <w:rPr>
                <w:rFonts w:hint="default"/>
                <w:lang w:eastAsia="ja-JP"/>
              </w:rPr>
            </w:pPr>
            <w:r>
              <w:rPr>
                <w:rFonts w:hint="eastAsia"/>
                <w:lang w:eastAsia="ja-JP"/>
              </w:rPr>
              <w:t>YES</w:t>
            </w:r>
          </w:p>
        </w:tc>
        <w:tc>
          <w:tcPr>
            <w:tcW w:w="2348" w:type="dxa"/>
            <w:shd w:val="clear" w:color="auto" w:fill="auto"/>
          </w:tcPr>
          <w:p w14:paraId="4193FD4B">
            <w:pPr>
              <w:pStyle w:val="40"/>
              <w:suppressLineNumbers w:val="0"/>
              <w:spacing w:before="0" w:beforeAutospacing="0" w:afterAutospacing="0"/>
              <w:ind w:left="0" w:right="0"/>
              <w:rPr>
                <w:rFonts w:hint="default"/>
                <w:lang w:eastAsia="ja-JP"/>
              </w:rPr>
            </w:pPr>
            <w:r>
              <w:rPr>
                <w:rFonts w:hint="eastAsia"/>
                <w:lang w:eastAsia="ja-JP"/>
              </w:rPr>
              <w:t>YES</w:t>
            </w:r>
          </w:p>
        </w:tc>
        <w:tc>
          <w:tcPr>
            <w:tcW w:w="2349" w:type="dxa"/>
            <w:shd w:val="clear" w:color="auto" w:fill="auto"/>
          </w:tcPr>
          <w:p w14:paraId="370F4AB8">
            <w:pPr>
              <w:pStyle w:val="40"/>
              <w:suppressLineNumbers w:val="0"/>
              <w:spacing w:before="0" w:beforeAutospacing="0" w:afterAutospacing="0"/>
              <w:ind w:left="0" w:right="0"/>
              <w:rPr>
                <w:rFonts w:hint="default"/>
                <w:lang w:eastAsia="ja-JP"/>
              </w:rPr>
            </w:pPr>
            <w:r>
              <w:rPr>
                <w:rFonts w:hint="eastAsia"/>
                <w:lang w:eastAsia="ja-JP"/>
              </w:rPr>
              <w:t>YES</w:t>
            </w:r>
          </w:p>
        </w:tc>
      </w:tr>
      <w:tr w14:paraId="0C93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14:paraId="3A2D3D07">
            <w:pPr>
              <w:pStyle w:val="40"/>
              <w:suppressLineNumbers w:val="0"/>
              <w:spacing w:before="0" w:beforeAutospacing="0" w:afterAutospacing="0"/>
              <w:ind w:left="0" w:right="0"/>
              <w:rPr>
                <w:rFonts w:hint="default" w:eastAsia="宋体"/>
                <w:b/>
                <w:highlight w:val="yellow"/>
                <w:lang w:eastAsia="ja-JP"/>
              </w:rPr>
            </w:pPr>
            <w:r>
              <w:rPr>
                <w:rFonts w:hint="default" w:eastAsia="宋体"/>
                <w:b/>
                <w:highlight w:val="yellow"/>
                <w:lang w:eastAsia="ja-JP"/>
              </w:rPr>
              <w:t>BS max TX power in dBm</w:t>
            </w:r>
          </w:p>
        </w:tc>
        <w:tc>
          <w:tcPr>
            <w:tcW w:w="2349" w:type="dxa"/>
            <w:shd w:val="clear" w:color="auto" w:fill="auto"/>
          </w:tcPr>
          <w:p w14:paraId="4BAF69B0">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c>
          <w:tcPr>
            <w:tcW w:w="2348" w:type="dxa"/>
            <w:shd w:val="clear" w:color="auto" w:fill="auto"/>
          </w:tcPr>
          <w:p w14:paraId="69B093D0">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43dBm</w:t>
            </w:r>
          </w:p>
        </w:tc>
        <w:tc>
          <w:tcPr>
            <w:tcW w:w="2349" w:type="dxa"/>
            <w:shd w:val="clear" w:color="auto" w:fill="auto"/>
          </w:tcPr>
          <w:p w14:paraId="3BF1490B">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33dBm</w:t>
            </w:r>
          </w:p>
        </w:tc>
      </w:tr>
      <w:tr w14:paraId="1119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7B59C56D">
            <w:pPr>
              <w:pStyle w:val="40"/>
              <w:suppressLineNumbers w:val="0"/>
              <w:spacing w:before="0" w:beforeAutospacing="0" w:afterAutospacing="0"/>
              <w:ind w:left="0" w:right="0"/>
              <w:rPr>
                <w:rFonts w:hint="default" w:eastAsia="宋体"/>
                <w:b/>
                <w:highlight w:val="yellow"/>
                <w:lang w:eastAsia="ja-JP"/>
              </w:rPr>
            </w:pPr>
            <w:r>
              <w:rPr>
                <w:rFonts w:hint="default" w:eastAsia="宋体"/>
                <w:b/>
                <w:highlight w:val="yellow"/>
                <w:lang w:eastAsia="ja-JP"/>
              </w:rPr>
              <w:t xml:space="preserve">UE </w:t>
            </w:r>
            <w:r>
              <w:rPr>
                <w:rFonts w:hint="eastAsia"/>
                <w:b/>
                <w:highlight w:val="yellow"/>
                <w:lang w:eastAsia="ja-JP"/>
              </w:rPr>
              <w:t xml:space="preserve">max </w:t>
            </w:r>
            <w:r>
              <w:rPr>
                <w:rFonts w:hint="default" w:eastAsia="宋体"/>
                <w:b/>
                <w:highlight w:val="yellow"/>
                <w:lang w:eastAsia="ja-JP"/>
              </w:rPr>
              <w:t>TX power in dBm</w:t>
            </w:r>
          </w:p>
        </w:tc>
        <w:tc>
          <w:tcPr>
            <w:tcW w:w="2349" w:type="dxa"/>
            <w:shd w:val="clear" w:color="auto" w:fill="auto"/>
          </w:tcPr>
          <w:p w14:paraId="0888127B">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c>
          <w:tcPr>
            <w:tcW w:w="2348" w:type="dxa"/>
            <w:shd w:val="clear" w:color="auto" w:fill="auto"/>
          </w:tcPr>
          <w:p w14:paraId="6965C070">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c>
          <w:tcPr>
            <w:tcW w:w="2349" w:type="dxa"/>
            <w:shd w:val="clear" w:color="auto" w:fill="auto"/>
          </w:tcPr>
          <w:p w14:paraId="6CC06703">
            <w:pPr>
              <w:pStyle w:val="40"/>
              <w:suppressLineNumbers w:val="0"/>
              <w:spacing w:before="0" w:beforeAutospacing="0" w:afterAutospacing="0"/>
              <w:ind w:left="0" w:right="0"/>
              <w:rPr>
                <w:rFonts w:hint="default"/>
                <w:highlight w:val="yellow"/>
                <w:lang w:eastAsia="ja-JP"/>
              </w:rPr>
            </w:pPr>
            <w:r>
              <w:rPr>
                <w:rFonts w:hint="eastAsia"/>
                <w:highlight w:val="yellow"/>
                <w:lang w:eastAsia="ja-JP"/>
              </w:rPr>
              <w:t>23dBm</w:t>
            </w:r>
          </w:p>
        </w:tc>
      </w:tr>
      <w:tr w14:paraId="56D8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59FAFF5E">
            <w:pPr>
              <w:pStyle w:val="40"/>
              <w:suppressLineNumbers w:val="0"/>
              <w:spacing w:before="0" w:beforeAutospacing="0" w:afterAutospacing="0"/>
              <w:ind w:left="0" w:right="0"/>
              <w:rPr>
                <w:rFonts w:hint="default" w:eastAsia="宋体"/>
                <w:b/>
                <w:lang w:eastAsia="ja-JP"/>
              </w:rPr>
            </w:pPr>
            <w:r>
              <w:rPr>
                <w:rFonts w:hint="default" w:eastAsia="宋体"/>
                <w:b/>
                <w:lang w:eastAsia="ja-JP"/>
              </w:rPr>
              <w:t xml:space="preserve">UE </w:t>
            </w:r>
            <w:r>
              <w:rPr>
                <w:rFonts w:hint="eastAsia"/>
                <w:b/>
                <w:lang w:eastAsia="ja-JP"/>
              </w:rPr>
              <w:t xml:space="preserve">min </w:t>
            </w:r>
            <w:r>
              <w:rPr>
                <w:rFonts w:hint="default" w:eastAsia="宋体"/>
                <w:b/>
                <w:lang w:eastAsia="ja-JP"/>
              </w:rPr>
              <w:t>TX power in dBm</w:t>
            </w:r>
          </w:p>
        </w:tc>
        <w:tc>
          <w:tcPr>
            <w:tcW w:w="2349" w:type="dxa"/>
            <w:shd w:val="clear" w:color="auto" w:fill="auto"/>
          </w:tcPr>
          <w:p w14:paraId="0C180F79">
            <w:pPr>
              <w:pStyle w:val="40"/>
              <w:suppressLineNumbers w:val="0"/>
              <w:spacing w:before="0" w:beforeAutospacing="0" w:afterAutospacing="0"/>
              <w:ind w:left="0" w:right="0"/>
              <w:rPr>
                <w:rFonts w:hint="default"/>
                <w:lang w:eastAsia="ja-JP"/>
              </w:rPr>
            </w:pPr>
            <w:r>
              <w:rPr>
                <w:rFonts w:hint="eastAsia" w:eastAsia="宋体"/>
              </w:rPr>
              <w:t>-40dBm</w:t>
            </w:r>
          </w:p>
        </w:tc>
        <w:tc>
          <w:tcPr>
            <w:tcW w:w="2348" w:type="dxa"/>
            <w:shd w:val="clear" w:color="auto" w:fill="auto"/>
          </w:tcPr>
          <w:p w14:paraId="72AF34BC">
            <w:pPr>
              <w:pStyle w:val="40"/>
              <w:suppressLineNumbers w:val="0"/>
              <w:spacing w:before="0" w:beforeAutospacing="0" w:afterAutospacing="0"/>
              <w:ind w:left="0" w:right="0"/>
              <w:rPr>
                <w:rFonts w:hint="default"/>
                <w:lang w:eastAsia="ja-JP"/>
              </w:rPr>
            </w:pPr>
            <w:r>
              <w:rPr>
                <w:rFonts w:hint="eastAsia" w:eastAsia="宋体"/>
              </w:rPr>
              <w:t>-40dBm</w:t>
            </w:r>
          </w:p>
        </w:tc>
        <w:tc>
          <w:tcPr>
            <w:tcW w:w="2349" w:type="dxa"/>
            <w:shd w:val="clear" w:color="auto" w:fill="auto"/>
          </w:tcPr>
          <w:p w14:paraId="762F741D">
            <w:pPr>
              <w:pStyle w:val="40"/>
              <w:suppressLineNumbers w:val="0"/>
              <w:spacing w:before="0" w:beforeAutospacing="0" w:afterAutospacing="0"/>
              <w:ind w:left="0" w:right="0"/>
              <w:rPr>
                <w:rFonts w:hint="default"/>
                <w:lang w:eastAsia="ja-JP"/>
              </w:rPr>
            </w:pPr>
            <w:r>
              <w:rPr>
                <w:rFonts w:hint="eastAsia" w:eastAsia="宋体"/>
              </w:rPr>
              <w:t>-40dBm</w:t>
            </w:r>
          </w:p>
        </w:tc>
      </w:tr>
      <w:tr w14:paraId="5901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747B6EA6">
            <w:pPr>
              <w:pStyle w:val="40"/>
              <w:suppressLineNumbers w:val="0"/>
              <w:spacing w:before="0" w:beforeAutospacing="0" w:afterAutospacing="0"/>
              <w:ind w:left="0" w:right="0"/>
              <w:rPr>
                <w:rFonts w:hint="default" w:eastAsia="宋体"/>
                <w:b/>
                <w:lang w:eastAsia="ja-JP"/>
              </w:rPr>
            </w:pPr>
            <w:r>
              <w:rPr>
                <w:rFonts w:hint="eastAsia" w:eastAsia="宋体"/>
                <w:b/>
                <w:lang w:eastAsia="ja-JP"/>
              </w:rPr>
              <w:t>BS Noise figure in dB</w:t>
            </w:r>
          </w:p>
        </w:tc>
        <w:tc>
          <w:tcPr>
            <w:tcW w:w="2349" w:type="dxa"/>
            <w:shd w:val="clear" w:color="auto" w:fill="auto"/>
          </w:tcPr>
          <w:p w14:paraId="1D773541">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8" w:type="dxa"/>
            <w:shd w:val="clear" w:color="auto" w:fill="auto"/>
          </w:tcPr>
          <w:p w14:paraId="30C86652">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9" w:type="dxa"/>
            <w:shd w:val="clear" w:color="auto" w:fill="auto"/>
          </w:tcPr>
          <w:p w14:paraId="0D42FF0C">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r>
      <w:tr w14:paraId="3688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10C08743">
            <w:pPr>
              <w:pStyle w:val="40"/>
              <w:suppressLineNumbers w:val="0"/>
              <w:spacing w:before="0" w:beforeAutospacing="0" w:afterAutospacing="0"/>
              <w:ind w:left="0" w:right="0"/>
              <w:rPr>
                <w:rFonts w:hint="default" w:eastAsia="宋体"/>
                <w:b/>
                <w:lang w:eastAsia="ja-JP"/>
              </w:rPr>
            </w:pPr>
            <w:r>
              <w:rPr>
                <w:rFonts w:hint="eastAsia" w:eastAsia="宋体"/>
                <w:b/>
                <w:lang w:eastAsia="ja-JP"/>
              </w:rPr>
              <w:t>UE Noise figure in dB</w:t>
            </w:r>
          </w:p>
        </w:tc>
        <w:tc>
          <w:tcPr>
            <w:tcW w:w="2349" w:type="dxa"/>
            <w:shd w:val="clear" w:color="auto" w:fill="auto"/>
          </w:tcPr>
          <w:p w14:paraId="1A153B0F">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8" w:type="dxa"/>
            <w:shd w:val="clear" w:color="auto" w:fill="auto"/>
          </w:tcPr>
          <w:p w14:paraId="4E3920F0">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c>
          <w:tcPr>
            <w:tcW w:w="2349" w:type="dxa"/>
            <w:shd w:val="clear" w:color="auto" w:fill="auto"/>
          </w:tcPr>
          <w:p w14:paraId="28E72023">
            <w:pPr>
              <w:pStyle w:val="40"/>
              <w:suppressLineNumbers w:val="0"/>
              <w:spacing w:before="0" w:beforeAutospacing="0" w:afterAutospacing="0"/>
              <w:ind w:left="0" w:right="0"/>
              <w:rPr>
                <w:rFonts w:hint="default"/>
                <w:lang w:eastAsia="ja-JP"/>
              </w:rPr>
            </w:pPr>
            <w:r>
              <w:rPr>
                <w:rFonts w:hint="default"/>
                <w:lang w:eastAsia="ja-JP"/>
              </w:rPr>
              <w:t>N</w:t>
            </w:r>
            <w:r>
              <w:rPr>
                <w:rFonts w:hint="eastAsia"/>
                <w:lang w:eastAsia="ja-JP"/>
              </w:rPr>
              <w:t>ote 1</w:t>
            </w:r>
          </w:p>
        </w:tc>
      </w:tr>
      <w:tr w14:paraId="4240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14:paraId="5C9D807C">
            <w:pPr>
              <w:pStyle w:val="40"/>
              <w:suppressLineNumbers w:val="0"/>
              <w:spacing w:before="0" w:beforeAutospacing="0" w:afterAutospacing="0"/>
              <w:ind w:left="0" w:right="0"/>
              <w:rPr>
                <w:rFonts w:hint="default" w:eastAsia="宋体"/>
                <w:b/>
                <w:lang w:eastAsia="ja-JP"/>
              </w:rPr>
            </w:pPr>
            <w:r>
              <w:rPr>
                <w:rFonts w:hint="default" w:eastAsia="宋体"/>
                <w:b/>
                <w:lang w:eastAsia="ja-JP"/>
              </w:rPr>
              <w:t>H</w:t>
            </w:r>
            <w:r>
              <w:rPr>
                <w:rFonts w:hint="eastAsia" w:eastAsia="宋体"/>
                <w:b/>
                <w:lang w:eastAsia="ja-JP"/>
              </w:rPr>
              <w:t xml:space="preserve">andover </w:t>
            </w:r>
            <w:r>
              <w:rPr>
                <w:rFonts w:hint="default" w:eastAsia="宋体"/>
                <w:b/>
                <w:lang w:eastAsia="ja-JP"/>
              </w:rPr>
              <w:t>margin</w:t>
            </w:r>
          </w:p>
        </w:tc>
        <w:tc>
          <w:tcPr>
            <w:tcW w:w="2349" w:type="dxa"/>
            <w:shd w:val="clear" w:color="auto" w:fill="auto"/>
          </w:tcPr>
          <w:p w14:paraId="2F927893">
            <w:pPr>
              <w:pStyle w:val="40"/>
              <w:suppressLineNumbers w:val="0"/>
              <w:spacing w:before="0" w:beforeAutospacing="0" w:afterAutospacing="0"/>
              <w:ind w:left="0" w:right="0"/>
              <w:rPr>
                <w:rFonts w:hint="default"/>
                <w:lang w:eastAsia="ja-JP"/>
              </w:rPr>
            </w:pPr>
            <w:r>
              <w:rPr>
                <w:rFonts w:hint="eastAsia"/>
                <w:lang w:eastAsia="ja-JP"/>
              </w:rPr>
              <w:t>3dB</w:t>
            </w:r>
          </w:p>
        </w:tc>
        <w:tc>
          <w:tcPr>
            <w:tcW w:w="2348" w:type="dxa"/>
            <w:shd w:val="clear" w:color="auto" w:fill="auto"/>
          </w:tcPr>
          <w:p w14:paraId="6063DE94">
            <w:pPr>
              <w:pStyle w:val="40"/>
              <w:suppressLineNumbers w:val="0"/>
              <w:spacing w:before="0" w:beforeAutospacing="0" w:afterAutospacing="0"/>
              <w:ind w:left="0" w:right="0"/>
              <w:rPr>
                <w:rFonts w:hint="default"/>
                <w:lang w:eastAsia="ja-JP"/>
              </w:rPr>
            </w:pPr>
            <w:r>
              <w:rPr>
                <w:rFonts w:hint="eastAsia"/>
                <w:lang w:eastAsia="ja-JP"/>
              </w:rPr>
              <w:t>3dB</w:t>
            </w:r>
          </w:p>
        </w:tc>
        <w:tc>
          <w:tcPr>
            <w:tcW w:w="2349" w:type="dxa"/>
            <w:shd w:val="clear" w:color="auto" w:fill="auto"/>
          </w:tcPr>
          <w:p w14:paraId="579C8CC5">
            <w:pPr>
              <w:pStyle w:val="40"/>
              <w:suppressLineNumbers w:val="0"/>
              <w:spacing w:before="0" w:beforeAutospacing="0" w:afterAutospacing="0"/>
              <w:ind w:left="0" w:right="0"/>
              <w:rPr>
                <w:rFonts w:hint="default"/>
                <w:lang w:eastAsia="ja-JP"/>
              </w:rPr>
            </w:pPr>
            <w:r>
              <w:rPr>
                <w:rFonts w:hint="eastAsia"/>
                <w:lang w:eastAsia="ja-JP"/>
              </w:rPr>
              <w:t>3dB</w:t>
            </w:r>
          </w:p>
        </w:tc>
      </w:tr>
      <w:tr w14:paraId="1428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421" w:type="dxa"/>
            <w:gridSpan w:val="4"/>
            <w:shd w:val="clear" w:color="auto" w:fill="auto"/>
            <w:vAlign w:val="center"/>
          </w:tcPr>
          <w:p w14:paraId="3AD1D899">
            <w:pPr>
              <w:pStyle w:val="51"/>
              <w:suppressLineNumbers w:val="0"/>
              <w:spacing w:before="0" w:beforeAutospacing="0" w:afterAutospacing="0"/>
              <w:ind w:right="0"/>
              <w:rPr>
                <w:rFonts w:hint="default" w:eastAsia="宋体"/>
                <w:lang w:val="en-US" w:eastAsia="ja-JP"/>
              </w:rPr>
            </w:pPr>
            <w:r>
              <w:rPr>
                <w:rFonts w:hint="default"/>
                <w:lang w:eastAsia="ja-JP"/>
              </w:rPr>
              <w:t>N</w:t>
            </w:r>
            <w:r>
              <w:rPr>
                <w:rFonts w:hint="eastAsia"/>
                <w:lang w:eastAsia="ja-JP"/>
              </w:rPr>
              <w:t>ote 1:</w:t>
            </w:r>
            <w:r>
              <w:rPr>
                <w:rFonts w:hint="eastAsia"/>
                <w:lang w:eastAsia="ja-JP"/>
              </w:rPr>
              <w:tab/>
            </w:r>
            <w:r>
              <w:rPr>
                <w:rFonts w:hint="eastAsia"/>
                <w:lang w:eastAsia="ja-JP"/>
              </w:rPr>
              <w:t xml:space="preserve">For deriving ACIR/ACS values which are included in respond to WP5D, </w:t>
            </w:r>
            <w:r>
              <w:rPr>
                <w:rFonts w:hint="default"/>
                <w:lang w:eastAsia="ja-JP"/>
              </w:rPr>
              <w:t xml:space="preserve">following NF are used </w:t>
            </w:r>
            <w:r>
              <w:rPr>
                <w:rFonts w:hint="eastAsia"/>
                <w:lang w:eastAsia="ja-JP"/>
              </w:rPr>
              <w:t>in co-existence simulation study</w:t>
            </w:r>
            <w:r>
              <w:rPr>
                <w:rFonts w:hint="default"/>
                <w:lang w:eastAsia="ja-JP"/>
              </w:rPr>
              <w:t xml:space="preserve"> for both UE and BS</w:t>
            </w:r>
            <w:r>
              <w:rPr>
                <w:rFonts w:hint="eastAsia"/>
                <w:lang w:eastAsia="ja-JP"/>
              </w:rPr>
              <w:t xml:space="preserve">. </w:t>
            </w:r>
            <w:r>
              <w:rPr>
                <w:rFonts w:hint="default"/>
                <w:lang w:eastAsia="ja-JP"/>
              </w:rPr>
              <w:t xml:space="preserve">30GHz: </w:t>
            </w:r>
            <w:r>
              <w:rPr>
                <w:rFonts w:hint="eastAsia"/>
                <w:lang w:eastAsia="ja-JP"/>
              </w:rPr>
              <w:t xml:space="preserve">9 and 11 </w:t>
            </w:r>
            <w:r>
              <w:rPr>
                <w:rFonts w:hint="default"/>
                <w:lang w:eastAsia="ja-JP"/>
              </w:rPr>
              <w:t>dB</w:t>
            </w:r>
            <w:r>
              <w:rPr>
                <w:rFonts w:hint="eastAsia"/>
                <w:lang w:eastAsia="ja-JP"/>
              </w:rPr>
              <w:t xml:space="preserve">, </w:t>
            </w:r>
            <w:r>
              <w:rPr>
                <w:rFonts w:hint="default"/>
                <w:lang w:eastAsia="ja-JP"/>
              </w:rPr>
              <w:t>45GHz: 1</w:t>
            </w:r>
            <w:r>
              <w:rPr>
                <w:rFonts w:hint="eastAsia"/>
                <w:lang w:eastAsia="ja-JP"/>
              </w:rPr>
              <w:t>1 and 13</w:t>
            </w:r>
            <w:r>
              <w:rPr>
                <w:rFonts w:hint="default"/>
                <w:lang w:eastAsia="ja-JP"/>
              </w:rPr>
              <w:t xml:space="preserve"> dB</w:t>
            </w:r>
            <w:r>
              <w:rPr>
                <w:rFonts w:hint="eastAsia"/>
                <w:lang w:eastAsia="ja-JP"/>
              </w:rPr>
              <w:t xml:space="preserve">, </w:t>
            </w:r>
            <w:r>
              <w:rPr>
                <w:rFonts w:hint="default"/>
                <w:lang w:eastAsia="ja-JP"/>
              </w:rPr>
              <w:t xml:space="preserve">70GHz: </w:t>
            </w:r>
            <w:r>
              <w:rPr>
                <w:rFonts w:hint="eastAsia"/>
                <w:lang w:eastAsia="ja-JP"/>
              </w:rPr>
              <w:t>13 and 15</w:t>
            </w:r>
            <w:r>
              <w:rPr>
                <w:rFonts w:hint="default"/>
                <w:lang w:eastAsia="ja-JP"/>
              </w:rPr>
              <w:t xml:space="preserve"> dB</w:t>
            </w:r>
            <w:r>
              <w:rPr>
                <w:rFonts w:hint="eastAsia"/>
                <w:lang w:eastAsia="ja-JP"/>
              </w:rPr>
              <w:t>.</w:t>
            </w:r>
          </w:p>
        </w:tc>
      </w:tr>
    </w:tbl>
    <w:p w14:paraId="598F6BDB">
      <w:pPr>
        <w:numPr>
          <w:ilvl w:val="0"/>
          <w:numId w:val="0"/>
        </w:numPr>
        <w:tabs>
          <w:tab w:val="left" w:pos="2127"/>
        </w:tabs>
        <w:spacing w:after="0"/>
        <w:jc w:val="both"/>
        <w:rPr>
          <w:rFonts w:hint="default"/>
          <w:b w:val="0"/>
          <w:bCs w:val="0"/>
          <w:lang w:val="en-US" w:eastAsia="zh-CN"/>
        </w:rPr>
      </w:pPr>
    </w:p>
    <w:p w14:paraId="03BC4FF5">
      <w:pPr>
        <w:numPr>
          <w:ilvl w:val="0"/>
          <w:numId w:val="0"/>
        </w:numPr>
        <w:tabs>
          <w:tab w:val="left" w:pos="2127"/>
        </w:tabs>
        <w:spacing w:after="0"/>
        <w:jc w:val="center"/>
        <w:rPr>
          <w:rFonts w:hint="default"/>
          <w:b w:val="0"/>
          <w:bCs w:val="0"/>
          <w:lang w:val="en-US" w:eastAsia="zh-CN"/>
        </w:rPr>
      </w:pPr>
      <w:r>
        <w:rPr>
          <w:rFonts w:hint="eastAsia"/>
          <w:b w:val="0"/>
          <w:bCs w:val="0"/>
          <w:lang w:val="en-US" w:eastAsia="zh-CN"/>
        </w:rPr>
        <w:t>Table 1. the summary for the legacy TN coexistence study from 4G to 5G-A</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115"/>
        <w:gridCol w:w="7807"/>
      </w:tblGrid>
      <w:tr w14:paraId="56D4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47C1265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Release</w:t>
            </w:r>
          </w:p>
        </w:tc>
        <w:tc>
          <w:tcPr>
            <w:tcW w:w="1115" w:type="dxa"/>
          </w:tcPr>
          <w:p w14:paraId="7E7390D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w:t>
            </w:r>
          </w:p>
        </w:tc>
        <w:tc>
          <w:tcPr>
            <w:tcW w:w="7807" w:type="dxa"/>
          </w:tcPr>
          <w:p w14:paraId="1B2718B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NOTE</w:t>
            </w:r>
          </w:p>
        </w:tc>
      </w:tr>
      <w:tr w14:paraId="5E74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4CA9290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 xml:space="preserve">Rel-8 </w:t>
            </w:r>
          </w:p>
        </w:tc>
        <w:tc>
          <w:tcPr>
            <w:tcW w:w="1115" w:type="dxa"/>
          </w:tcPr>
          <w:p w14:paraId="6C56EDF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36.942</w:t>
            </w:r>
          </w:p>
        </w:tc>
        <w:tc>
          <w:tcPr>
            <w:tcW w:w="7807" w:type="dxa"/>
          </w:tcPr>
          <w:p w14:paraId="358ABBF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 Urban Macro and 900MHz Rural area, 43dBm for 5MHz and 46dBm for 10, 15, 20MHz</w:t>
            </w:r>
          </w:p>
          <w:p w14:paraId="4FF1067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default"/>
              </w:rPr>
              <w:drawing>
                <wp:inline distT="0" distB="0" distL="114300" distR="114300">
                  <wp:extent cx="4464685" cy="4695190"/>
                  <wp:effectExtent l="0" t="0" r="12065" b="1016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8"/>
                          <a:stretch>
                            <a:fillRect/>
                          </a:stretch>
                        </pic:blipFill>
                        <pic:spPr>
                          <a:xfrm>
                            <a:off x="0" y="0"/>
                            <a:ext cx="4464685" cy="4695190"/>
                          </a:xfrm>
                          <a:prstGeom prst="rect">
                            <a:avLst/>
                          </a:prstGeom>
                          <a:noFill/>
                          <a:ln>
                            <a:noFill/>
                          </a:ln>
                        </pic:spPr>
                      </pic:pic>
                    </a:graphicData>
                  </a:graphic>
                </wp:inline>
              </w:drawing>
            </w:r>
          </w:p>
        </w:tc>
      </w:tr>
      <w:tr w14:paraId="0795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2F9546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Rel-12</w:t>
            </w:r>
          </w:p>
        </w:tc>
        <w:tc>
          <w:tcPr>
            <w:tcW w:w="1115" w:type="dxa"/>
          </w:tcPr>
          <w:p w14:paraId="519F55A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37.840</w:t>
            </w:r>
          </w:p>
        </w:tc>
        <w:tc>
          <w:tcPr>
            <w:tcW w:w="7807" w:type="dxa"/>
          </w:tcPr>
          <w:p w14:paraId="5E20D5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Single column 10x1 AAS BS without UE specific beamforming considered, 2GHz</w:t>
            </w:r>
          </w:p>
          <w:p w14:paraId="7227B3C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default"/>
              </w:rPr>
              <w:drawing>
                <wp:inline distT="0" distB="0" distL="114300" distR="114300">
                  <wp:extent cx="5036185" cy="4304665"/>
                  <wp:effectExtent l="0" t="0" r="12065"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9"/>
                          <a:stretch>
                            <a:fillRect/>
                          </a:stretch>
                        </pic:blipFill>
                        <pic:spPr>
                          <a:xfrm>
                            <a:off x="0" y="0"/>
                            <a:ext cx="5036185" cy="4304665"/>
                          </a:xfrm>
                          <a:prstGeom prst="rect">
                            <a:avLst/>
                          </a:prstGeom>
                          <a:noFill/>
                          <a:ln>
                            <a:noFill/>
                          </a:ln>
                        </pic:spPr>
                      </pic:pic>
                    </a:graphicData>
                  </a:graphic>
                </wp:inline>
              </w:drawing>
            </w:r>
          </w:p>
        </w:tc>
      </w:tr>
      <w:tr w14:paraId="1B9F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25FABF8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Rel-13</w:t>
            </w:r>
          </w:p>
        </w:tc>
        <w:tc>
          <w:tcPr>
            <w:tcW w:w="1115" w:type="dxa"/>
          </w:tcPr>
          <w:p w14:paraId="2EDDCFB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37.842</w:t>
            </w:r>
          </w:p>
        </w:tc>
        <w:tc>
          <w:tcPr>
            <w:tcW w:w="7807" w:type="dxa"/>
          </w:tcPr>
          <w:p w14:paraId="4478FA5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Vertical cell splitting and horizontal cell splitting at 2GHz and UE specific beamforming</w:t>
            </w:r>
          </w:p>
          <w:p w14:paraId="198DC1BB">
            <w:pPr>
              <w:keepNext w:val="0"/>
              <w:keepLines w:val="0"/>
              <w:numPr>
                <w:ilvl w:val="0"/>
                <w:numId w:val="0"/>
              </w:numPr>
              <w:suppressLineNumbers w:val="0"/>
              <w:tabs>
                <w:tab w:val="left" w:pos="2127"/>
              </w:tabs>
              <w:spacing w:before="0" w:beforeAutospacing="0" w:after="0" w:afterAutospacing="0"/>
              <w:ind w:left="0" w:right="0"/>
              <w:jc w:val="both"/>
              <w:rPr>
                <w:rFonts w:hint="default"/>
              </w:rPr>
            </w:pPr>
            <w:r>
              <w:rPr>
                <w:rFonts w:hint="default"/>
              </w:rPr>
              <w:drawing>
                <wp:inline distT="0" distB="0" distL="114300" distR="114300">
                  <wp:extent cx="4846955" cy="4305300"/>
                  <wp:effectExtent l="0" t="0" r="1079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0"/>
                          <a:stretch>
                            <a:fillRect/>
                          </a:stretch>
                        </pic:blipFill>
                        <pic:spPr>
                          <a:xfrm>
                            <a:off x="0" y="0"/>
                            <a:ext cx="4846955" cy="4305300"/>
                          </a:xfrm>
                          <a:prstGeom prst="rect">
                            <a:avLst/>
                          </a:prstGeom>
                          <a:noFill/>
                          <a:ln>
                            <a:noFill/>
                          </a:ln>
                        </pic:spPr>
                      </pic:pic>
                    </a:graphicData>
                  </a:graphic>
                </wp:inline>
              </w:drawing>
            </w:r>
          </w:p>
          <w:p w14:paraId="643DB193">
            <w:pPr>
              <w:keepNext w:val="0"/>
              <w:keepLines w:val="0"/>
              <w:numPr>
                <w:ilvl w:val="0"/>
                <w:numId w:val="0"/>
              </w:numPr>
              <w:suppressLineNumbers w:val="0"/>
              <w:tabs>
                <w:tab w:val="left" w:pos="2127"/>
              </w:tabs>
              <w:spacing w:before="0" w:beforeAutospacing="0" w:after="0" w:afterAutospacing="0"/>
              <w:ind w:left="0" w:right="0"/>
              <w:jc w:val="both"/>
              <w:rPr>
                <w:rFonts w:hint="default"/>
              </w:rPr>
            </w:pPr>
          </w:p>
          <w:p w14:paraId="062C6639">
            <w:pPr>
              <w:keepNext w:val="0"/>
              <w:keepLines w:val="0"/>
              <w:numPr>
                <w:ilvl w:val="0"/>
                <w:numId w:val="0"/>
              </w:numPr>
              <w:suppressLineNumbers w:val="0"/>
              <w:tabs>
                <w:tab w:val="left" w:pos="2127"/>
              </w:tabs>
              <w:spacing w:before="0" w:beforeAutospacing="0" w:after="0" w:afterAutospacing="0"/>
              <w:ind w:left="0" w:right="0"/>
              <w:jc w:val="both"/>
              <w:rPr>
                <w:rFonts w:hint="eastAsia"/>
                <w:lang w:val="en-US" w:eastAsia="zh-CN"/>
              </w:rPr>
            </w:pPr>
            <w:r>
              <w:rPr>
                <w:rFonts w:hint="default"/>
              </w:rPr>
              <w:drawing>
                <wp:inline distT="0" distB="0" distL="114300" distR="114300">
                  <wp:extent cx="5280660" cy="3312795"/>
                  <wp:effectExtent l="0" t="0" r="1524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1"/>
                          <a:stretch>
                            <a:fillRect/>
                          </a:stretch>
                        </pic:blipFill>
                        <pic:spPr>
                          <a:xfrm>
                            <a:off x="0" y="0"/>
                            <a:ext cx="5280660" cy="3312795"/>
                          </a:xfrm>
                          <a:prstGeom prst="rect">
                            <a:avLst/>
                          </a:prstGeom>
                          <a:noFill/>
                          <a:ln>
                            <a:noFill/>
                          </a:ln>
                        </pic:spPr>
                      </pic:pic>
                    </a:graphicData>
                  </a:graphic>
                </wp:inline>
              </w:drawing>
            </w:r>
          </w:p>
        </w:tc>
      </w:tr>
      <w:tr w14:paraId="0F76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14A169E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Rel-14</w:t>
            </w:r>
          </w:p>
        </w:tc>
        <w:tc>
          <w:tcPr>
            <w:tcW w:w="1115" w:type="dxa"/>
          </w:tcPr>
          <w:p w14:paraId="577D1F2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38.803</w:t>
            </w:r>
          </w:p>
        </w:tc>
        <w:tc>
          <w:tcPr>
            <w:tcW w:w="7807" w:type="dxa"/>
          </w:tcPr>
          <w:p w14:paraId="7D451F4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Focus on 30GHz, 45GHz and 70GHz mmWave coexistence study. </w:t>
            </w:r>
          </w:p>
          <w:p w14:paraId="02C7FFF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FC3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0436306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Rel-17</w:t>
            </w:r>
          </w:p>
        </w:tc>
        <w:tc>
          <w:tcPr>
            <w:tcW w:w="1115" w:type="dxa"/>
          </w:tcPr>
          <w:p w14:paraId="54FFA76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38.921</w:t>
            </w:r>
          </w:p>
        </w:tc>
        <w:tc>
          <w:tcPr>
            <w:tcW w:w="7807" w:type="dxa"/>
          </w:tcPr>
          <w:p w14:paraId="6FD03BE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Focus on 6425-7125MHz and 10-10.5GHz with 16x8 and 8x8 antenna configuration without sub-array considered. Only PC3 UE and 43 BS transmission power is considered in the coexistence evaluation.</w:t>
            </w:r>
          </w:p>
        </w:tc>
      </w:tr>
      <w:tr w14:paraId="6882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5819FCB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Rel-18</w:t>
            </w:r>
          </w:p>
        </w:tc>
        <w:tc>
          <w:tcPr>
            <w:tcW w:w="1115" w:type="dxa"/>
          </w:tcPr>
          <w:p w14:paraId="71E4913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TR 38.858</w:t>
            </w:r>
          </w:p>
        </w:tc>
        <w:tc>
          <w:tcPr>
            <w:tcW w:w="7807" w:type="dxa"/>
          </w:tcPr>
          <w:p w14:paraId="01B792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SBFD coexist with TDD NR in both FR1 and FR2-1 TDD bands</w:t>
            </w:r>
          </w:p>
        </w:tc>
      </w:tr>
      <w:tr w14:paraId="419C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 w:type="dxa"/>
          </w:tcPr>
          <w:p w14:paraId="6FC3D17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Rel-19</w:t>
            </w:r>
          </w:p>
        </w:tc>
        <w:tc>
          <w:tcPr>
            <w:tcW w:w="1115" w:type="dxa"/>
          </w:tcPr>
          <w:p w14:paraId="3F4EC50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lang w:val="en-US" w:eastAsia="zh-CN"/>
              </w:rPr>
              <w:t>TR 38.922</w:t>
            </w:r>
          </w:p>
        </w:tc>
        <w:tc>
          <w:tcPr>
            <w:tcW w:w="7807" w:type="dxa"/>
          </w:tcPr>
          <w:p w14:paraId="6398933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Focus on 15GHz evaluation and also capture the antenna configuration for 4.4-4.8GHz and 7.125-8.4GHz</w:t>
            </w:r>
          </w:p>
        </w:tc>
      </w:tr>
    </w:tbl>
    <w:p w14:paraId="79BB4D5B">
      <w:pPr>
        <w:numPr>
          <w:ilvl w:val="0"/>
          <w:numId w:val="0"/>
        </w:numPr>
        <w:tabs>
          <w:tab w:val="left" w:pos="2127"/>
        </w:tabs>
        <w:spacing w:after="0"/>
        <w:jc w:val="both"/>
        <w:rPr>
          <w:rFonts w:hint="eastAsia"/>
          <w:b w:val="0"/>
          <w:bCs w:val="0"/>
          <w:lang w:val="en-US" w:eastAsia="zh-CN"/>
        </w:rPr>
      </w:pPr>
    </w:p>
    <w:p w14:paraId="4F6CEF57">
      <w:pPr>
        <w:numPr>
          <w:ilvl w:val="0"/>
          <w:numId w:val="0"/>
        </w:numPr>
        <w:tabs>
          <w:tab w:val="left" w:pos="2127"/>
        </w:tabs>
        <w:spacing w:after="0"/>
        <w:jc w:val="both"/>
        <w:rPr>
          <w:rFonts w:hint="default"/>
          <w:b w:val="0"/>
          <w:bCs w:val="0"/>
          <w:lang w:val="en-US" w:eastAsia="zh-CN"/>
        </w:rPr>
      </w:pPr>
      <w:r>
        <w:rPr>
          <w:rFonts w:hint="eastAsia"/>
          <w:b/>
          <w:bCs/>
          <w:lang w:val="en-US" w:eastAsia="zh-CN"/>
        </w:rPr>
        <w:t>Proposal 1</w:t>
      </w:r>
      <w:r>
        <w:rPr>
          <w:rFonts w:hint="eastAsia"/>
          <w:b w:val="0"/>
          <w:bCs w:val="0"/>
          <w:lang w:val="en-US" w:eastAsia="zh-CN"/>
        </w:rPr>
        <w:t xml:space="preserve">: propose to consider the following key assumption difference between LTE/NR and 6GR to derive the 6GR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3496"/>
        <w:gridCol w:w="5181"/>
      </w:tblGrid>
      <w:tr w14:paraId="41F6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422AFDC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Operating frequency </w:t>
            </w:r>
          </w:p>
        </w:tc>
        <w:tc>
          <w:tcPr>
            <w:tcW w:w="0" w:type="auto"/>
            <w:shd w:val="clear" w:color="auto" w:fill="A4A4A4" w:themeFill="background1" w:themeFillShade="A5"/>
          </w:tcPr>
          <w:p w14:paraId="3990245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LTEG/5G</w:t>
            </w:r>
          </w:p>
        </w:tc>
        <w:tc>
          <w:tcPr>
            <w:tcW w:w="0" w:type="auto"/>
            <w:shd w:val="clear" w:color="auto" w:fill="A4A4A4" w:themeFill="background1" w:themeFillShade="A5"/>
          </w:tcPr>
          <w:p w14:paraId="3BE4B9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6GR difference</w:t>
            </w:r>
          </w:p>
        </w:tc>
      </w:tr>
      <w:tr w14:paraId="5E74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CBF0ED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0" w:type="auto"/>
          </w:tcPr>
          <w:p w14:paraId="6877296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Rural area evaluation only</w:t>
            </w:r>
          </w:p>
          <w:p w14:paraId="5CFBCD5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no evaluation</w:t>
            </w:r>
          </w:p>
        </w:tc>
        <w:tc>
          <w:tcPr>
            <w:tcW w:w="0" w:type="auto"/>
          </w:tcPr>
          <w:p w14:paraId="2A9E16B4">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AAS architecture </w:t>
            </w:r>
          </w:p>
          <w:p w14:paraId="2B7E642A">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6017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74D7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0" w:type="auto"/>
          </w:tcPr>
          <w:p w14:paraId="0D4DE9C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Urban Macro area evaluation only</w:t>
            </w:r>
          </w:p>
          <w:p w14:paraId="6EACD97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(passive antenna in Rel-8 and AAS with UE specific beamforming in Rel-13, without sub-array configuration)</w:t>
            </w:r>
          </w:p>
          <w:p w14:paraId="75337EF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NR: No evaluation</w:t>
            </w:r>
          </w:p>
        </w:tc>
        <w:tc>
          <w:tcPr>
            <w:tcW w:w="0" w:type="auto"/>
          </w:tcPr>
          <w:p w14:paraId="3878315F">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71B22B75">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17B2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C04BA3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4GHz</w:t>
            </w:r>
          </w:p>
        </w:tc>
        <w:tc>
          <w:tcPr>
            <w:tcW w:w="0" w:type="auto"/>
          </w:tcPr>
          <w:p w14:paraId="0B2AC68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0AC6027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NR: No evaluation </w:t>
            </w:r>
          </w:p>
        </w:tc>
        <w:tc>
          <w:tcPr>
            <w:tcW w:w="0" w:type="auto"/>
          </w:tcPr>
          <w:p w14:paraId="4060F5FF">
            <w:pPr>
              <w:keepNext w:val="0"/>
              <w:keepLines w:val="0"/>
              <w:numPr>
                <w:ilvl w:val="0"/>
                <w:numId w:val="1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782C7DEE">
            <w:pPr>
              <w:keepNext w:val="0"/>
              <w:keepLines w:val="0"/>
              <w:numPr>
                <w:ilvl w:val="0"/>
                <w:numId w:val="10"/>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 xml:space="preserve">PC2 HPUE with single PC2 PA and PC1.5 HPUE with single PC1.5 PA or with 2 PC2 PA </w:t>
            </w:r>
          </w:p>
          <w:p w14:paraId="2DB1C7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bCs/>
                <w:vertAlign w:val="baseline"/>
                <w:lang w:val="en-US" w:eastAsia="zh-CN"/>
              </w:rPr>
              <w:t>(NOTE: there is no difference for coexistence study for PC1.5 with 1 PA or 2 PA)</w:t>
            </w:r>
          </w:p>
        </w:tc>
      </w:tr>
      <w:tr w14:paraId="74E0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95D50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7GHz</w:t>
            </w:r>
          </w:p>
        </w:tc>
        <w:tc>
          <w:tcPr>
            <w:tcW w:w="0" w:type="auto"/>
          </w:tcPr>
          <w:p w14:paraId="7606C37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40D151D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w:t>
            </w:r>
          </w:p>
          <w:p w14:paraId="1ADCB76B">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AAS without sub-array configuration (16x8), </w:t>
            </w:r>
          </w:p>
          <w:p w14:paraId="7549B629">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BS transmission power 43dBm, </w:t>
            </w:r>
          </w:p>
          <w:p w14:paraId="54EB78DE">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PC3 UE only </w:t>
            </w:r>
          </w:p>
        </w:tc>
        <w:tc>
          <w:tcPr>
            <w:tcW w:w="0" w:type="auto"/>
          </w:tcPr>
          <w:p w14:paraId="4FD2039F">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 (e.g. 1x3);</w:t>
            </w:r>
          </w:p>
          <w:p w14:paraId="28138531">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Larger antenna array size (e.g. 8x16 with sub-array as 1x3 in elevation domain)</w:t>
            </w:r>
          </w:p>
          <w:p w14:paraId="65A5D068">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Hybrid beamforming at BS side;</w:t>
            </w:r>
          </w:p>
          <w:p w14:paraId="2BB10A69">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PC2 HPUE with single PC2 PA and PC1.5 HPUE with 2 PC2 PA (e.g. with certain beamforming gain using omini antenna); 4 PC3 PA with certain beamforming using the omini antenna</w:t>
            </w:r>
          </w:p>
        </w:tc>
      </w:tr>
      <w:tr w14:paraId="4F2C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9012E8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0" w:type="auto"/>
          </w:tcPr>
          <w:p w14:paraId="4848251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 in Rel-14</w:t>
            </w:r>
          </w:p>
        </w:tc>
        <w:tc>
          <w:tcPr>
            <w:tcW w:w="0" w:type="auto"/>
          </w:tcPr>
          <w:p w14:paraId="75764570">
            <w:pPr>
              <w:keepNext w:val="0"/>
              <w:keepLines w:val="0"/>
              <w:numPr>
                <w:ilvl w:val="0"/>
                <w:numId w:val="12"/>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More reasonable BS and UE transmission power assumption e.g. 30-40dBm for 512 antenna configuration or 22.4dBm for minimum EIRP for UE side; </w:t>
            </w:r>
          </w:p>
        </w:tc>
      </w:tr>
    </w:tbl>
    <w:p w14:paraId="3E5F2448">
      <w:pPr>
        <w:numPr>
          <w:ilvl w:val="0"/>
          <w:numId w:val="0"/>
        </w:numPr>
        <w:tabs>
          <w:tab w:val="left" w:pos="2127"/>
        </w:tabs>
        <w:spacing w:after="0"/>
        <w:jc w:val="both"/>
        <w:rPr>
          <w:rFonts w:hint="eastAsia"/>
          <w:b w:val="0"/>
          <w:bCs w:val="0"/>
          <w:lang w:val="en-US" w:eastAsia="zh-CN"/>
        </w:rPr>
      </w:pP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In addition, 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CA599C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16073E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2.1.2. Coexistence cases for 6GR study</w:t>
      </w:r>
    </w:p>
    <w:p w14:paraId="5AEE35EA">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As analyzed in section 2.1.1, RAN4 need to conduct the 6GR coexistence studies to identify the appropriate ACLR/ACS requirements. In the following Table 2.1.2-1, according to the confirmed IMT spectrum by ITU-R Radio regulation, we provide some initial understandings on the coexistence cases in 6GR study phase.</w:t>
      </w:r>
    </w:p>
    <w:p w14:paraId="7729762D">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b w:val="0"/>
          <w:bCs w:val="0"/>
          <w:lang w:val="en-US" w:eastAsia="zh-CN"/>
        </w:rPr>
      </w:pPr>
      <w:r>
        <w:rPr>
          <w:rFonts w:hint="eastAsia"/>
          <w:lang w:val="en-US" w:eastAsia="zh-CN"/>
        </w:rPr>
        <w:t>Table 2.1.2-1. coexistence case for 6GR study</w:t>
      </w:r>
    </w:p>
    <w:tbl>
      <w:tblPr>
        <w:tblStyle w:val="26"/>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3"/>
        <w:gridCol w:w="1909"/>
        <w:gridCol w:w="3759"/>
        <w:gridCol w:w="2841"/>
      </w:tblGrid>
      <w:tr w14:paraId="0B9E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86" w:type="pct"/>
            <w:shd w:val="clear" w:color="auto" w:fill="BEBEBE" w:themeFill="background1" w:themeFillShade="BF"/>
          </w:tcPr>
          <w:p w14:paraId="7CC4C8C4">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Scenario</w:t>
            </w:r>
          </w:p>
        </w:tc>
        <w:tc>
          <w:tcPr>
            <w:tcW w:w="968" w:type="pct"/>
            <w:shd w:val="clear" w:color="auto" w:fill="BEBEBE" w:themeFill="background1" w:themeFillShade="BF"/>
          </w:tcPr>
          <w:p w14:paraId="245710B3">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FR</w:t>
            </w:r>
          </w:p>
        </w:tc>
        <w:tc>
          <w:tcPr>
            <w:tcW w:w="1906" w:type="pct"/>
            <w:shd w:val="clear" w:color="auto" w:fill="BEBEBE" w:themeFill="background1" w:themeFillShade="BF"/>
          </w:tcPr>
          <w:p w14:paraId="3B28627E">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Aggressor</w:t>
            </w:r>
          </w:p>
        </w:tc>
        <w:tc>
          <w:tcPr>
            <w:tcW w:w="1438" w:type="pct"/>
            <w:shd w:val="clear" w:color="auto" w:fill="BEBEBE" w:themeFill="background1" w:themeFillShade="BF"/>
          </w:tcPr>
          <w:p w14:paraId="17574FD9">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Victim</w:t>
            </w:r>
          </w:p>
        </w:tc>
      </w:tr>
      <w:tr w14:paraId="7A42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990D48F">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default" w:ascii="Arial" w:hAnsi="Arial" w:eastAsia="等线"/>
                <w:sz w:val="18"/>
                <w:lang w:eastAsia="zh-CN"/>
              </w:rPr>
              <w:t>1</w:t>
            </w:r>
          </w:p>
        </w:tc>
        <w:tc>
          <w:tcPr>
            <w:tcW w:w="968" w:type="pct"/>
          </w:tcPr>
          <w:p w14:paraId="7437700D">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45874889">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0DD29777">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200977F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630963B4">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2AAF9F74">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up to 64 antenna elements)</w:t>
            </w:r>
          </w:p>
        </w:tc>
      </w:tr>
      <w:tr w14:paraId="47E0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0E75DD3">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2</w:t>
            </w:r>
          </w:p>
        </w:tc>
        <w:tc>
          <w:tcPr>
            <w:tcW w:w="968" w:type="pct"/>
          </w:tcPr>
          <w:p w14:paraId="07074BA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66EF5458">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3DEF3EDB">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33A36F3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1E4B3FF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5G with passive antenna</w:t>
            </w:r>
          </w:p>
        </w:tc>
      </w:tr>
      <w:tr w14:paraId="0382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3AB29692">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3</w:t>
            </w:r>
          </w:p>
        </w:tc>
        <w:tc>
          <w:tcPr>
            <w:tcW w:w="1909" w:type="dxa"/>
            <w:vAlign w:val="top"/>
          </w:tcPr>
          <w:p w14:paraId="72283FA7">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48217A1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772C53F8">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12A4246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5BA785A3">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5B48972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r>
      <w:tr w14:paraId="5B33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FD15912">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4</w:t>
            </w:r>
          </w:p>
        </w:tc>
        <w:tc>
          <w:tcPr>
            <w:tcW w:w="1909" w:type="dxa"/>
            <w:vAlign w:val="top"/>
          </w:tcPr>
          <w:p w14:paraId="4A8B2A6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25F9710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2C2E155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1767E11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0AF4B15B">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legacy antenna array [192 antenna elements]</w:t>
            </w:r>
          </w:p>
        </w:tc>
      </w:tr>
      <w:tr w14:paraId="769E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A601686">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5</w:t>
            </w:r>
          </w:p>
        </w:tc>
        <w:tc>
          <w:tcPr>
            <w:tcW w:w="968" w:type="pct"/>
            <w:vAlign w:val="top"/>
          </w:tcPr>
          <w:p w14:paraId="634CEEE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1DF1E99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197677D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608D861">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70E0AECC">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5D15DDB1">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r>
      <w:tr w14:paraId="473A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1C9659FA">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6</w:t>
            </w:r>
          </w:p>
        </w:tc>
        <w:tc>
          <w:tcPr>
            <w:tcW w:w="968" w:type="pct"/>
            <w:vAlign w:val="top"/>
          </w:tcPr>
          <w:p w14:paraId="4F0695A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397E8EDF">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4AA6F1B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0B80856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0194DEF8">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5G with legacy antenna array [192 antenna elements]</w:t>
            </w:r>
          </w:p>
        </w:tc>
      </w:tr>
      <w:tr w14:paraId="1996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FA1D82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7</w:t>
            </w:r>
          </w:p>
        </w:tc>
        <w:tc>
          <w:tcPr>
            <w:tcW w:w="968" w:type="pct"/>
            <w:vAlign w:val="top"/>
          </w:tcPr>
          <w:p w14:paraId="358ADAA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12A83F5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70963D4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1E046A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2BE9736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1D3A24E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r>
      <w:tr w14:paraId="18CD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8DA8983">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8</w:t>
            </w:r>
          </w:p>
        </w:tc>
        <w:tc>
          <w:tcPr>
            <w:tcW w:w="968" w:type="pct"/>
            <w:vAlign w:val="top"/>
          </w:tcPr>
          <w:p w14:paraId="3F2D547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620CC8F6">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0ACD4BB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5218E5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3EC53E5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5G with legacy antenna array </w:t>
            </w:r>
          </w:p>
          <w:p w14:paraId="78E316B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[192 antenna elements]</w:t>
            </w:r>
          </w:p>
        </w:tc>
      </w:tr>
      <w:tr w14:paraId="57FE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7528D1A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9</w:t>
            </w:r>
          </w:p>
        </w:tc>
        <w:tc>
          <w:tcPr>
            <w:tcW w:w="968" w:type="pct"/>
            <w:vAlign w:val="top"/>
          </w:tcPr>
          <w:p w14:paraId="1087706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 GHz</w:t>
            </w:r>
          </w:p>
          <w:p w14:paraId="31283949">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5DA63B0C">
            <w:pPr>
              <w:keepNext/>
              <w:keepLines/>
              <w:suppressLineNumbers w:val="0"/>
              <w:spacing w:before="0" w:beforeAutospacing="0" w:after="0" w:afterAutospacing="0"/>
              <w:ind w:left="0" w:leftChars="0" w:right="0" w:rightChars="0"/>
              <w:jc w:val="both"/>
              <w:rPr>
                <w:rFonts w:hint="default"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734E0AC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250C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128DBA6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10</w:t>
            </w:r>
          </w:p>
        </w:tc>
        <w:tc>
          <w:tcPr>
            <w:tcW w:w="968" w:type="pct"/>
            <w:vAlign w:val="top"/>
          </w:tcPr>
          <w:p w14:paraId="6E43F64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30GHz</w:t>
            </w:r>
          </w:p>
          <w:p w14:paraId="11B84E0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4E6DE065">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4F0ED28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71BA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DF06BC9">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1: 6GR non-SBFD BS coexists with 6GR non-SBFD BS BS with larger antenna array than assumption in TR 38.921.</w:t>
            </w:r>
          </w:p>
          <w:p w14:paraId="5453B5B2">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2: 6GR SBFD BS coexists with 6GR SBFD BS;</w:t>
            </w:r>
          </w:p>
          <w:p w14:paraId="3E95288C">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3: The simulation assumption captured in TR38.803 is too aggressive with BS maximum output power up to 43dBm.</w:t>
            </w:r>
          </w:p>
        </w:tc>
      </w:tr>
    </w:tbl>
    <w:p w14:paraId="4AE82D25">
      <w:pPr>
        <w:tabs>
          <w:tab w:val="left" w:pos="2127"/>
        </w:tabs>
        <w:spacing w:after="0"/>
        <w:jc w:val="left"/>
        <w:rPr>
          <w:rFonts w:hint="default"/>
          <w:lang w:val="en-US" w:eastAsia="zh-CN"/>
        </w:rPr>
      </w:pPr>
      <w:r>
        <w:rPr>
          <w:rFonts w:hint="eastAsia"/>
          <w:b/>
          <w:bCs/>
          <w:lang w:val="en-US" w:eastAsia="zh-CN"/>
        </w:rPr>
        <w:t>Proposal 3</w:t>
      </w:r>
      <w:r>
        <w:rPr>
          <w:rFonts w:hint="eastAsia"/>
          <w:lang w:val="en-US" w:eastAsia="zh-CN"/>
        </w:rPr>
        <w:t>: for the 6GR coexistence study, propose to consider the coexistence cases as listed in Table 2.1.2-1.</w:t>
      </w:r>
    </w:p>
    <w:p w14:paraId="3515A38B">
      <w:pPr>
        <w:numPr>
          <w:ilvl w:val="0"/>
          <w:numId w:val="0"/>
        </w:numPr>
        <w:tabs>
          <w:tab w:val="left" w:pos="2127"/>
        </w:tabs>
        <w:spacing w:after="0"/>
        <w:jc w:val="both"/>
        <w:rPr>
          <w:rFonts w:hint="default"/>
          <w:b w:val="0"/>
          <w:bCs w:val="0"/>
          <w:lang w:val="en-US" w:eastAsia="zh-CN"/>
        </w:rPr>
      </w:pPr>
    </w:p>
    <w:p w14:paraId="5814FBC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2.1.3. Simulation assumption for 6GR study</w:t>
      </w:r>
    </w:p>
    <w:p w14:paraId="3DA268F1">
      <w:pPr>
        <w:numPr>
          <w:ilvl w:val="0"/>
          <w:numId w:val="0"/>
        </w:numPr>
        <w:tabs>
          <w:tab w:val="left" w:pos="2127"/>
        </w:tabs>
        <w:spacing w:after="0"/>
        <w:jc w:val="both"/>
        <w:rPr>
          <w:rFonts w:hint="eastAsia"/>
          <w:b w:val="0"/>
          <w:bCs w:val="0"/>
          <w:highlight w:val="none"/>
          <w:lang w:val="en-US" w:eastAsia="zh-CN"/>
        </w:rPr>
      </w:pPr>
      <w:r>
        <w:rPr>
          <w:rFonts w:hint="eastAsia"/>
          <w:b w:val="0"/>
          <w:bCs w:val="0"/>
          <w:highlight w:val="none"/>
          <w:lang w:val="en-US" w:eastAsia="zh-CN"/>
        </w:rPr>
        <w:t>For the simulation assumption for 6GR study, we want to provide the following simulation assumptions as captured in Table 2.1.3-1 and Table 2.1.3-2 for the 6GR coexistence study.</w:t>
      </w:r>
    </w:p>
    <w:p w14:paraId="1B36512F">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2.1.3-1. general parameters for up to 7GHz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2690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492499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761C057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2491" w:type="dxa"/>
            <w:shd w:val="clear" w:color="auto" w:fill="BEBEBE" w:themeFill="background1" w:themeFillShade="BF"/>
          </w:tcPr>
          <w:p w14:paraId="4CAFC9C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2491" w:type="dxa"/>
            <w:shd w:val="clear" w:color="auto" w:fill="BEBEBE" w:themeFill="background1" w:themeFillShade="BF"/>
            <w:vAlign w:val="top"/>
          </w:tcPr>
          <w:p w14:paraId="6C97F31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4GHz</w:t>
            </w:r>
          </w:p>
        </w:tc>
      </w:tr>
      <w:tr w14:paraId="681C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8B4B0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tcPr>
          <w:p w14:paraId="0308349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3639CE0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30DF8EA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7593B3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02430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2F2810E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655BB98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021ABA3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6E7F8C6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r>
      <w:tr w14:paraId="6D49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BE0B0E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tcPr>
          <w:p w14:paraId="4D324F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6203D31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7FB1D18C">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r>
      <w:tr w14:paraId="79E1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7E0641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tcPr>
          <w:p w14:paraId="7E13CF4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r>
              <w:rPr>
                <w:rFonts w:hint="default"/>
                <w:b w:val="0"/>
                <w:bCs w:val="0"/>
                <w:highlight w:val="none"/>
                <w:lang w:val="en-US" w:eastAsia="zh-CN"/>
              </w:rPr>
              <w:t>Around 700 MHz: Up to 64 Tx and Rx antenna elements</w:t>
            </w:r>
          </w:p>
        </w:tc>
        <w:tc>
          <w:tcPr>
            <w:tcW w:w="2491" w:type="dxa"/>
          </w:tcPr>
          <w:p w14:paraId="5FA7637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 xml:space="preserve">Around 4 GHz: Up to </w:t>
            </w:r>
            <w:r>
              <w:rPr>
                <w:rFonts w:hint="eastAsia"/>
                <w:b w:val="0"/>
                <w:bCs w:val="0"/>
                <w:highlight w:val="none"/>
                <w:lang w:val="en-US" w:eastAsia="zh-CN"/>
              </w:rPr>
              <w:t xml:space="preserve">288 </w:t>
            </w:r>
            <w:r>
              <w:rPr>
                <w:rFonts w:hint="default"/>
                <w:b w:val="0"/>
                <w:bCs w:val="0"/>
                <w:highlight w:val="none"/>
                <w:lang w:val="en-US" w:eastAsia="zh-CN"/>
              </w:rPr>
              <w:t>Tx and Rx antenna elements</w:t>
            </w:r>
          </w:p>
          <w:p w14:paraId="31B9AC9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vAlign w:val="top"/>
          </w:tcPr>
          <w:p w14:paraId="34C67D5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4 GHz: Up to 576 Tx and Rx antenna elements</w:t>
            </w:r>
          </w:p>
          <w:p w14:paraId="71B61DC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r>
      <w:tr w14:paraId="6A92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4823057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tcPr>
          <w:p w14:paraId="3AD2C7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tcPr>
          <w:p w14:paraId="6662A4A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vAlign w:val="top"/>
          </w:tcPr>
          <w:p w14:paraId="0A57305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Omini antenna</w:t>
            </w:r>
          </w:p>
        </w:tc>
      </w:tr>
      <w:tr w14:paraId="031D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9B8534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tcPr>
          <w:p w14:paraId="4E58138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698AD7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6B807FB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0FE7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015158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tcPr>
          <w:p w14:paraId="60D9797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1F0DBCE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43EA6A9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r>
      <w:tr w14:paraId="7D61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88C8D1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tcPr>
          <w:p w14:paraId="709F23D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AA306F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1C710576">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64DD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FF1A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tcPr>
          <w:p w14:paraId="3399E91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4A8C9EA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0D7858AD">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bl>
    <w:p w14:paraId="1C2FF6D6">
      <w:pPr>
        <w:numPr>
          <w:ilvl w:val="0"/>
          <w:numId w:val="0"/>
        </w:numPr>
        <w:tabs>
          <w:tab w:val="left" w:pos="2127"/>
        </w:tabs>
        <w:spacing w:after="0"/>
        <w:jc w:val="both"/>
        <w:rPr>
          <w:rFonts w:hint="default"/>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63A9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571A55D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vAlign w:val="top"/>
          </w:tcPr>
          <w:p w14:paraId="0B1F1C6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Around 7GHz</w:t>
            </w:r>
          </w:p>
        </w:tc>
        <w:tc>
          <w:tcPr>
            <w:tcW w:w="2491" w:type="dxa"/>
            <w:shd w:val="clear" w:color="auto" w:fill="BEBEBE" w:themeFill="background1" w:themeFillShade="BF"/>
          </w:tcPr>
          <w:p w14:paraId="7B8057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shd w:val="clear" w:color="auto" w:fill="BEBEBE" w:themeFill="background1" w:themeFillShade="BF"/>
          </w:tcPr>
          <w:p w14:paraId="6C41A13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346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1ECE3C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3508DFE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143F8B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10A37CDD">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215A5AE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DEFC00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8AF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6E9A7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7AF54FD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4CFB1AF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3407086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F12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1784C8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vAlign w:val="top"/>
          </w:tcPr>
          <w:p w14:paraId="1700F93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7 GHz: Up to 2304 Tx and Rx antenna elements</w:t>
            </w:r>
          </w:p>
          <w:p w14:paraId="2300E7AF">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c>
          <w:tcPr>
            <w:tcW w:w="2491" w:type="dxa"/>
          </w:tcPr>
          <w:p w14:paraId="36EC764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tcPr>
          <w:p w14:paraId="64E2C48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r>
      <w:tr w14:paraId="6354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3EBC8DF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vAlign w:val="top"/>
          </w:tcPr>
          <w:p w14:paraId="11D415D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Omini antenna and</w:t>
            </w:r>
          </w:p>
          <w:p w14:paraId="3AEF13EA">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Beamforming with multiple omini antenna</w:t>
            </w:r>
          </w:p>
        </w:tc>
        <w:tc>
          <w:tcPr>
            <w:tcW w:w="2491" w:type="dxa"/>
          </w:tcPr>
          <w:p w14:paraId="0379AD1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58C3F43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ED1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3AE6F4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0A1B298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4D52875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73EBBE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1E7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755138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vAlign w:val="top"/>
          </w:tcPr>
          <w:p w14:paraId="0CF54B81">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5E0EF17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shd w:val="clear" w:color="auto" w:fill="auto"/>
            <w:vAlign w:val="top"/>
          </w:tcPr>
          <w:p w14:paraId="346E3D0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r>
      <w:tr w14:paraId="3516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859B3D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65FDA2CE">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2C7B1BE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305F7A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DD5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BA3B0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4568548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78816FB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48CEB9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2D8ED202">
      <w:pPr>
        <w:numPr>
          <w:ilvl w:val="0"/>
          <w:numId w:val="0"/>
        </w:numPr>
        <w:tabs>
          <w:tab w:val="left" w:pos="2127"/>
        </w:tabs>
        <w:spacing w:after="0"/>
        <w:jc w:val="both"/>
        <w:rPr>
          <w:rFonts w:hint="default"/>
          <w:b w:val="0"/>
          <w:bCs w:val="0"/>
          <w:lang w:val="en-US" w:eastAsia="zh-CN"/>
        </w:rPr>
      </w:pPr>
    </w:p>
    <w:p w14:paraId="2558C229">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2.1.3-2. general parameters for 30GHz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417B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D4DD3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5046E5C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2491" w:type="dxa"/>
            <w:shd w:val="clear" w:color="auto" w:fill="BEBEBE" w:themeFill="background1" w:themeFillShade="BF"/>
          </w:tcPr>
          <w:p w14:paraId="1D165E6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40GHz</w:t>
            </w:r>
          </w:p>
        </w:tc>
        <w:tc>
          <w:tcPr>
            <w:tcW w:w="2491" w:type="dxa"/>
            <w:shd w:val="clear" w:color="auto" w:fill="BEBEBE" w:themeFill="background1" w:themeFillShade="BF"/>
          </w:tcPr>
          <w:p w14:paraId="0959C71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Remarks</w:t>
            </w:r>
          </w:p>
        </w:tc>
      </w:tr>
      <w:tr w14:paraId="162C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1642A7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6113BA2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0117529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5581540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3C70239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9A05EB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0C1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99B3B6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6CC7ED6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330F087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140A1C6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7BD8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9E4AA0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Antenna configuration</w:t>
            </w:r>
          </w:p>
        </w:tc>
        <w:tc>
          <w:tcPr>
            <w:tcW w:w="2490" w:type="dxa"/>
            <w:vAlign w:val="top"/>
          </w:tcPr>
          <w:p w14:paraId="606CC3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default"/>
                <w:b w:val="0"/>
                <w:bCs w:val="0"/>
                <w:highlight w:val="none"/>
                <w:lang w:val="en-US" w:eastAsia="zh-CN"/>
              </w:rPr>
              <w:t>Around 30 GHz: Up to 4096 Tx and Rx antenna elements</w:t>
            </w:r>
          </w:p>
        </w:tc>
        <w:tc>
          <w:tcPr>
            <w:tcW w:w="2491" w:type="dxa"/>
            <w:vAlign w:val="top"/>
          </w:tcPr>
          <w:p w14:paraId="50D2FD4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E3C44A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8B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85695B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78EC532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38.803</w:t>
            </w:r>
          </w:p>
        </w:tc>
        <w:tc>
          <w:tcPr>
            <w:tcW w:w="2491" w:type="dxa"/>
            <w:vAlign w:val="top"/>
          </w:tcPr>
          <w:p w14:paraId="68263A1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37DB35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67B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6117F0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shd w:val="clear" w:color="auto" w:fill="auto"/>
            <w:vAlign w:val="top"/>
          </w:tcPr>
          <w:p w14:paraId="5202D87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33F9598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tcPr>
          <w:p w14:paraId="19AC958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C35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2939A9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0B2A48B2">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391B8C1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84FEAB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C39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88BAAC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56086EC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56925B6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4B0BFF9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0247A578">
      <w:pPr>
        <w:numPr>
          <w:ilvl w:val="0"/>
          <w:numId w:val="0"/>
        </w:numPr>
        <w:tabs>
          <w:tab w:val="left" w:pos="2127"/>
        </w:tabs>
        <w:spacing w:after="0"/>
        <w:jc w:val="both"/>
        <w:rPr>
          <w:rFonts w:hint="default"/>
          <w:b w:val="0"/>
          <w:bCs w:val="0"/>
          <w:lang w:val="en-US" w:eastAsia="zh-CN"/>
        </w:rPr>
      </w:pPr>
    </w:p>
    <w:p w14:paraId="3888935A">
      <w:pPr>
        <w:tabs>
          <w:tab w:val="left" w:pos="2127"/>
        </w:tabs>
        <w:spacing w:after="0"/>
        <w:jc w:val="left"/>
        <w:rPr>
          <w:rFonts w:hint="default"/>
          <w:b w:val="0"/>
          <w:bCs w:val="0"/>
          <w:highlight w:val="none"/>
          <w:lang w:val="en-US" w:eastAsia="zh-CN"/>
        </w:rPr>
      </w:pPr>
      <w:r>
        <w:rPr>
          <w:rFonts w:hint="eastAsia"/>
          <w:b/>
          <w:bCs/>
          <w:lang w:val="en-US" w:eastAsia="zh-CN"/>
        </w:rPr>
        <w:t>Proposal 4</w:t>
      </w:r>
      <w:r>
        <w:rPr>
          <w:rFonts w:hint="eastAsia"/>
          <w:lang w:val="en-US" w:eastAsia="zh-CN"/>
        </w:rPr>
        <w:t xml:space="preserve">: for the 6GR coexistence study, propose to consider the simulation assumptions as listed in </w:t>
      </w:r>
      <w:r>
        <w:rPr>
          <w:rFonts w:hint="eastAsia"/>
          <w:b w:val="0"/>
          <w:bCs w:val="0"/>
          <w:highlight w:val="none"/>
          <w:lang w:val="en-US" w:eastAsia="zh-CN"/>
        </w:rPr>
        <w:t>Table Table 2.1.3-1 and Table 2.1.3-2.</w:t>
      </w:r>
    </w:p>
    <w:bookmarkEnd w:id="1"/>
    <w:bookmarkEnd w:id="2"/>
    <w:bookmarkEnd w:id="3"/>
    <w:bookmarkEnd w:id="4"/>
    <w:p w14:paraId="5159F7DC">
      <w:pPr>
        <w:pStyle w:val="58"/>
        <w:tabs>
          <w:tab w:val="left" w:pos="567"/>
          <w:tab w:val="clear" w:pos="1985"/>
        </w:tabs>
        <w:adjustRightInd w:val="0"/>
        <w:ind w:left="510" w:hanging="510"/>
      </w:pPr>
      <w:r>
        <w:t>Conclusions</w:t>
      </w:r>
    </w:p>
    <w:p w14:paraId="1C23B41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0DC9ADB8">
      <w:pPr>
        <w:numPr>
          <w:ilvl w:val="0"/>
          <w:numId w:val="0"/>
        </w:numPr>
        <w:tabs>
          <w:tab w:val="left" w:pos="2127"/>
        </w:tabs>
        <w:spacing w:after="0"/>
        <w:jc w:val="both"/>
        <w:rPr>
          <w:rFonts w:hint="default"/>
          <w:b w:val="0"/>
          <w:bCs w:val="0"/>
          <w:lang w:val="en-US" w:eastAsia="zh-CN"/>
        </w:rPr>
      </w:pPr>
      <w:r>
        <w:rPr>
          <w:rFonts w:hint="eastAsia"/>
          <w:b/>
          <w:bCs/>
          <w:lang w:val="en-US" w:eastAsia="zh-CN"/>
        </w:rPr>
        <w:t>Proposal 1</w:t>
      </w:r>
      <w:r>
        <w:rPr>
          <w:rFonts w:hint="eastAsia"/>
          <w:b w:val="0"/>
          <w:bCs w:val="0"/>
          <w:lang w:val="en-US" w:eastAsia="zh-CN"/>
        </w:rPr>
        <w:t xml:space="preserve">: propose to consider the following key assumption difference between LTE/NR and 6GR to derive the 6GR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3496"/>
        <w:gridCol w:w="5181"/>
      </w:tblGrid>
      <w:tr w14:paraId="311C3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07DF2B5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Operating frequency </w:t>
            </w:r>
          </w:p>
        </w:tc>
        <w:tc>
          <w:tcPr>
            <w:tcW w:w="0" w:type="auto"/>
            <w:shd w:val="clear" w:color="auto" w:fill="A4A4A4" w:themeFill="background1" w:themeFillShade="A5"/>
          </w:tcPr>
          <w:p w14:paraId="6694BD4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LTEG/5G</w:t>
            </w:r>
          </w:p>
        </w:tc>
        <w:tc>
          <w:tcPr>
            <w:tcW w:w="0" w:type="auto"/>
            <w:shd w:val="clear" w:color="auto" w:fill="A4A4A4" w:themeFill="background1" w:themeFillShade="A5"/>
          </w:tcPr>
          <w:p w14:paraId="5B9A5C4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6GR difference</w:t>
            </w:r>
          </w:p>
        </w:tc>
      </w:tr>
      <w:tr w14:paraId="3F6C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DB102D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0" w:type="auto"/>
          </w:tcPr>
          <w:p w14:paraId="1EA7561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Rural area evaluation only</w:t>
            </w:r>
          </w:p>
          <w:p w14:paraId="7D03636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no evaluation</w:t>
            </w:r>
          </w:p>
        </w:tc>
        <w:tc>
          <w:tcPr>
            <w:tcW w:w="0" w:type="auto"/>
          </w:tcPr>
          <w:p w14:paraId="062A56C8">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AAS architecture </w:t>
            </w:r>
          </w:p>
          <w:p w14:paraId="1284D969">
            <w:pPr>
              <w:keepNext w:val="0"/>
              <w:keepLines w:val="0"/>
              <w:numPr>
                <w:ilvl w:val="0"/>
                <w:numId w:val="8"/>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3260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A97BD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0" w:type="auto"/>
          </w:tcPr>
          <w:p w14:paraId="130CD22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LTE: Urban Macro area evaluation only</w:t>
            </w:r>
          </w:p>
          <w:p w14:paraId="169EA2A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(passive antenna in Rel-8 and AAS with UE specific beamforming in Rel-13, without sub-array configuration)</w:t>
            </w:r>
          </w:p>
          <w:p w14:paraId="284A1DC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NR: No evaluation</w:t>
            </w:r>
          </w:p>
        </w:tc>
        <w:tc>
          <w:tcPr>
            <w:tcW w:w="0" w:type="auto"/>
          </w:tcPr>
          <w:p w14:paraId="6B1F8441">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5B5ACC39">
            <w:pPr>
              <w:keepNext w:val="0"/>
              <w:keepLines w:val="0"/>
              <w:numPr>
                <w:ilvl w:val="0"/>
                <w:numId w:val="9"/>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PC2 HPUE with single PC2 PA and PC1.5 HPUE with 2 PC2 PA</w:t>
            </w:r>
          </w:p>
        </w:tc>
      </w:tr>
      <w:tr w14:paraId="2A0E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B8626B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4GHz</w:t>
            </w:r>
          </w:p>
        </w:tc>
        <w:tc>
          <w:tcPr>
            <w:tcW w:w="0" w:type="auto"/>
          </w:tcPr>
          <w:p w14:paraId="7ED2506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6A10E8A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NR: No evaluation </w:t>
            </w:r>
          </w:p>
        </w:tc>
        <w:tc>
          <w:tcPr>
            <w:tcW w:w="0" w:type="auto"/>
          </w:tcPr>
          <w:p w14:paraId="5DB9B52B">
            <w:pPr>
              <w:keepNext w:val="0"/>
              <w:keepLines w:val="0"/>
              <w:numPr>
                <w:ilvl w:val="0"/>
                <w:numId w:val="1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w:t>
            </w:r>
          </w:p>
          <w:p w14:paraId="5D7797EA">
            <w:pPr>
              <w:keepNext w:val="0"/>
              <w:keepLines w:val="0"/>
              <w:numPr>
                <w:ilvl w:val="0"/>
                <w:numId w:val="10"/>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 xml:space="preserve">PC2 HPUE with single PC2 PA and PC1.5 HPUE with single PC1.5 PA or with 2 PC2 PA </w:t>
            </w:r>
          </w:p>
          <w:p w14:paraId="70165F2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bCs/>
                <w:vertAlign w:val="baseline"/>
                <w:lang w:val="en-US" w:eastAsia="zh-CN"/>
              </w:rPr>
              <w:t>(NOTE: there is no difference for coexistence study for PC1.5 with 1 PA or 2 PA)</w:t>
            </w:r>
          </w:p>
        </w:tc>
      </w:tr>
      <w:tr w14:paraId="3AF4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20B609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7GHz</w:t>
            </w:r>
          </w:p>
        </w:tc>
        <w:tc>
          <w:tcPr>
            <w:tcW w:w="0" w:type="auto"/>
          </w:tcPr>
          <w:p w14:paraId="2488C1C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 xml:space="preserve">LTE: No evaluation </w:t>
            </w:r>
          </w:p>
          <w:p w14:paraId="50D367D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w:t>
            </w:r>
          </w:p>
          <w:p w14:paraId="41D77D79">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AAS without sub-array configuration (16x8), </w:t>
            </w:r>
          </w:p>
          <w:p w14:paraId="0EAD77F4">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BS transmission power 43dBm, </w:t>
            </w:r>
          </w:p>
          <w:p w14:paraId="1E566491">
            <w:pPr>
              <w:keepNext w:val="0"/>
              <w:keepLines w:val="0"/>
              <w:numPr>
                <w:ilvl w:val="0"/>
                <w:numId w:val="0"/>
              </w:numPr>
              <w:suppressLineNumbers w:val="0"/>
              <w:tabs>
                <w:tab w:val="left" w:pos="2127"/>
              </w:tabs>
              <w:spacing w:before="0" w:beforeAutospacing="0" w:after="0" w:afterAutospacing="0"/>
              <w:ind w:left="0" w:right="0"/>
              <w:jc w:val="left"/>
              <w:rPr>
                <w:rFonts w:hint="eastAsia"/>
                <w:b w:val="0"/>
                <w:bCs w:val="0"/>
                <w:vertAlign w:val="baseline"/>
                <w:lang w:val="en-US" w:eastAsia="zh-CN"/>
              </w:rPr>
            </w:pPr>
            <w:r>
              <w:rPr>
                <w:rFonts w:hint="eastAsia"/>
                <w:b w:val="0"/>
                <w:bCs w:val="0"/>
                <w:vertAlign w:val="baseline"/>
                <w:lang w:val="en-US" w:eastAsia="zh-CN"/>
              </w:rPr>
              <w:t xml:space="preserve">PC3 UE only </w:t>
            </w:r>
          </w:p>
        </w:tc>
        <w:tc>
          <w:tcPr>
            <w:tcW w:w="0" w:type="auto"/>
          </w:tcPr>
          <w:p w14:paraId="14E4FD53">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AAS architecture with sub-array configuration (e.g. 1x3);</w:t>
            </w:r>
          </w:p>
          <w:p w14:paraId="38CCAA01">
            <w:pPr>
              <w:keepNext w:val="0"/>
              <w:keepLines w:val="0"/>
              <w:numPr>
                <w:ilvl w:val="0"/>
                <w:numId w:val="11"/>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Larger antenna array size (e.g. 8x16 with sub-array as 1x3 in elevation domain)</w:t>
            </w:r>
          </w:p>
          <w:p w14:paraId="7F226868">
            <w:pPr>
              <w:keepNext w:val="0"/>
              <w:keepLines w:val="0"/>
              <w:numPr>
                <w:ilvl w:val="0"/>
                <w:numId w:val="11"/>
              </w:numPr>
              <w:suppressLineNumbers w:val="0"/>
              <w:tabs>
                <w:tab w:val="left" w:pos="2127"/>
              </w:tabs>
              <w:spacing w:before="0" w:beforeAutospacing="0" w:after="0" w:afterAutospacing="0"/>
              <w:ind w:left="0" w:leftChars="0" w:right="0" w:firstLine="0" w:firstLineChars="0"/>
              <w:jc w:val="both"/>
              <w:rPr>
                <w:rFonts w:hint="eastAsia"/>
                <w:b w:val="0"/>
                <w:bCs w:val="0"/>
                <w:vertAlign w:val="baseline"/>
                <w:lang w:val="en-US" w:eastAsia="zh-CN"/>
              </w:rPr>
            </w:pPr>
            <w:r>
              <w:rPr>
                <w:rFonts w:hint="eastAsia"/>
                <w:b w:val="0"/>
                <w:bCs w:val="0"/>
                <w:vertAlign w:val="baseline"/>
                <w:lang w:val="en-US" w:eastAsia="zh-CN"/>
              </w:rPr>
              <w:t>PC2 HPUE with single PC2 PA and PC1.5 HPUE with 2 PC2 PA (e.g. with certain beamforming gain using omini antenna); 4 PC3 PA with certain beamforming using the omini antenna</w:t>
            </w:r>
          </w:p>
        </w:tc>
      </w:tr>
      <w:tr w14:paraId="7157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3C8FD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0" w:type="auto"/>
          </w:tcPr>
          <w:p w14:paraId="0D75C23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NR: With evaluation in Rel-14</w:t>
            </w:r>
          </w:p>
        </w:tc>
        <w:tc>
          <w:tcPr>
            <w:tcW w:w="0" w:type="auto"/>
          </w:tcPr>
          <w:p w14:paraId="6D8B7CEC">
            <w:pPr>
              <w:keepNext w:val="0"/>
              <w:keepLines w:val="0"/>
              <w:numPr>
                <w:ilvl w:val="0"/>
                <w:numId w:val="12"/>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 xml:space="preserve">More reasonable BS and UE transmission power assumption e.g. 30-40dBm for 512 antenna configuration or 22.4dBm for minimum EIRP for UE side; </w:t>
            </w:r>
          </w:p>
        </w:tc>
      </w:tr>
    </w:tbl>
    <w:p w14:paraId="335BFB3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3C3EF3BB">
      <w:pPr>
        <w:tabs>
          <w:tab w:val="left" w:pos="2127"/>
        </w:tabs>
        <w:spacing w:after="0"/>
        <w:jc w:val="left"/>
        <w:rPr>
          <w:rFonts w:hint="default"/>
          <w:lang w:val="en-US" w:eastAsia="zh-CN"/>
        </w:rPr>
      </w:pPr>
      <w:r>
        <w:rPr>
          <w:rFonts w:hint="eastAsia"/>
          <w:b/>
          <w:bCs/>
          <w:lang w:val="en-US" w:eastAsia="zh-CN"/>
        </w:rPr>
        <w:t>Proposal 3</w:t>
      </w:r>
      <w:r>
        <w:rPr>
          <w:rFonts w:hint="eastAsia"/>
          <w:lang w:val="en-US" w:eastAsia="zh-CN"/>
        </w:rPr>
        <w:t>: for the 6GR coexistence study, propose to consider the coexistence cases as listed in Table 2.1.2-1.</w:t>
      </w:r>
    </w:p>
    <w:tbl>
      <w:tblPr>
        <w:tblStyle w:val="26"/>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3"/>
        <w:gridCol w:w="1909"/>
        <w:gridCol w:w="3759"/>
        <w:gridCol w:w="2841"/>
      </w:tblGrid>
      <w:tr w14:paraId="0EDC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86" w:type="pct"/>
            <w:shd w:val="clear" w:color="auto" w:fill="BEBEBE" w:themeFill="background1" w:themeFillShade="BF"/>
          </w:tcPr>
          <w:p w14:paraId="26EDE97A">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Scenario</w:t>
            </w:r>
          </w:p>
        </w:tc>
        <w:tc>
          <w:tcPr>
            <w:tcW w:w="968" w:type="pct"/>
            <w:shd w:val="clear" w:color="auto" w:fill="BEBEBE" w:themeFill="background1" w:themeFillShade="BF"/>
          </w:tcPr>
          <w:p w14:paraId="0DF7B4A0">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FR</w:t>
            </w:r>
          </w:p>
        </w:tc>
        <w:tc>
          <w:tcPr>
            <w:tcW w:w="1906" w:type="pct"/>
            <w:shd w:val="clear" w:color="auto" w:fill="BEBEBE" w:themeFill="background1" w:themeFillShade="BF"/>
          </w:tcPr>
          <w:p w14:paraId="206DA453">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Aggressor</w:t>
            </w:r>
          </w:p>
        </w:tc>
        <w:tc>
          <w:tcPr>
            <w:tcW w:w="1438" w:type="pct"/>
            <w:shd w:val="clear" w:color="auto" w:fill="BEBEBE" w:themeFill="background1" w:themeFillShade="BF"/>
          </w:tcPr>
          <w:p w14:paraId="01BBB708">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Victim</w:t>
            </w:r>
          </w:p>
        </w:tc>
      </w:tr>
      <w:tr w14:paraId="5438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8A468F2">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default" w:ascii="Arial" w:hAnsi="Arial" w:eastAsia="等线"/>
                <w:sz w:val="18"/>
                <w:lang w:eastAsia="zh-CN"/>
              </w:rPr>
              <w:t>1</w:t>
            </w:r>
          </w:p>
        </w:tc>
        <w:tc>
          <w:tcPr>
            <w:tcW w:w="968" w:type="pct"/>
          </w:tcPr>
          <w:p w14:paraId="14682408">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7FDA6828">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5297247F">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66C5FD8B">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4DFB4A2D">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15D49002">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up to 64 antenna elements)</w:t>
            </w:r>
          </w:p>
        </w:tc>
      </w:tr>
      <w:tr w14:paraId="38DA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4105AD4">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2</w:t>
            </w:r>
          </w:p>
        </w:tc>
        <w:tc>
          <w:tcPr>
            <w:tcW w:w="968" w:type="pct"/>
          </w:tcPr>
          <w:p w14:paraId="254ED381">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36CE1C2D">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6" w:type="pct"/>
          </w:tcPr>
          <w:p w14:paraId="4777EFBE">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67598033">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(e.g.up to 64 antenna elements)</w:t>
            </w:r>
          </w:p>
        </w:tc>
        <w:tc>
          <w:tcPr>
            <w:tcW w:w="1438" w:type="pct"/>
            <w:shd w:val="clear" w:color="auto" w:fill="auto"/>
          </w:tcPr>
          <w:p w14:paraId="20370FE4">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5G with passive antenna</w:t>
            </w:r>
          </w:p>
        </w:tc>
      </w:tr>
      <w:tr w14:paraId="153C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594941B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3</w:t>
            </w:r>
          </w:p>
        </w:tc>
        <w:tc>
          <w:tcPr>
            <w:tcW w:w="1909" w:type="dxa"/>
            <w:vAlign w:val="top"/>
          </w:tcPr>
          <w:p w14:paraId="06EBE7B6">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48733F7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3233EDC7">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27136A5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58F81A39">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5B9F3E9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r>
      <w:tr w14:paraId="75E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1117B23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4</w:t>
            </w:r>
          </w:p>
        </w:tc>
        <w:tc>
          <w:tcPr>
            <w:tcW w:w="1909" w:type="dxa"/>
            <w:vAlign w:val="top"/>
          </w:tcPr>
          <w:p w14:paraId="081014E5">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bands</w:t>
            </w:r>
          </w:p>
          <w:p w14:paraId="570688D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 2GHz]</w:t>
            </w:r>
          </w:p>
        </w:tc>
        <w:tc>
          <w:tcPr>
            <w:tcW w:w="3759" w:type="dxa"/>
            <w:vAlign w:val="top"/>
          </w:tcPr>
          <w:p w14:paraId="6E122617">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50B9199D">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(e.g.up to 288 antenna elements)</w:t>
            </w:r>
          </w:p>
        </w:tc>
        <w:tc>
          <w:tcPr>
            <w:tcW w:w="2841" w:type="dxa"/>
            <w:shd w:val="clear" w:color="auto" w:fill="auto"/>
            <w:vAlign w:val="top"/>
          </w:tcPr>
          <w:p w14:paraId="6E11597F">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legacy antenna array [192 antenna elements]</w:t>
            </w:r>
          </w:p>
        </w:tc>
      </w:tr>
      <w:tr w14:paraId="5C49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A7DB465">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5</w:t>
            </w:r>
          </w:p>
        </w:tc>
        <w:tc>
          <w:tcPr>
            <w:tcW w:w="968" w:type="pct"/>
            <w:vAlign w:val="top"/>
          </w:tcPr>
          <w:p w14:paraId="16994FBB">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10D22AF3">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6C1D04C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13695B3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5CDDA14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7B132EB0">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r>
      <w:tr w14:paraId="06070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E8F96B9">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6</w:t>
            </w:r>
          </w:p>
        </w:tc>
        <w:tc>
          <w:tcPr>
            <w:tcW w:w="968" w:type="pct"/>
            <w:vAlign w:val="top"/>
          </w:tcPr>
          <w:p w14:paraId="463B828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220FFD00">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6" w:type="pct"/>
            <w:vAlign w:val="top"/>
          </w:tcPr>
          <w:p w14:paraId="4CDF24E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0CDB9BF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Up to 576 Tx and Rx antenna elements</w:t>
            </w:r>
            <w:r>
              <w:rPr>
                <w:rFonts w:hint="eastAsia" w:ascii="Arial" w:hAnsi="Arial" w:eastAsia="等线"/>
                <w:sz w:val="18"/>
                <w:lang w:val="en-US" w:eastAsia="zh-CN"/>
              </w:rPr>
              <w:t>)</w:t>
            </w:r>
          </w:p>
        </w:tc>
        <w:tc>
          <w:tcPr>
            <w:tcW w:w="1438" w:type="pct"/>
            <w:shd w:val="clear" w:color="auto" w:fill="auto"/>
            <w:vAlign w:val="top"/>
          </w:tcPr>
          <w:p w14:paraId="5710C04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5G with legacy antenna array [192 antenna elements]</w:t>
            </w:r>
          </w:p>
        </w:tc>
      </w:tr>
      <w:tr w14:paraId="62C6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2158594C">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7</w:t>
            </w:r>
          </w:p>
        </w:tc>
        <w:tc>
          <w:tcPr>
            <w:tcW w:w="968" w:type="pct"/>
            <w:vAlign w:val="top"/>
          </w:tcPr>
          <w:p w14:paraId="3345272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488D2E6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0991944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53A3C12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30FD03B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DE3EA88">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r>
      <w:tr w14:paraId="679C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0341C7B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8</w:t>
            </w:r>
          </w:p>
        </w:tc>
        <w:tc>
          <w:tcPr>
            <w:tcW w:w="968" w:type="pct"/>
            <w:vAlign w:val="top"/>
          </w:tcPr>
          <w:p w14:paraId="6366E703">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22427DAA">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6" w:type="pct"/>
            <w:vAlign w:val="top"/>
          </w:tcPr>
          <w:p w14:paraId="74491D5F">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2E187D7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(e.g. </w:t>
            </w:r>
            <w:r>
              <w:rPr>
                <w:rFonts w:hint="default" w:ascii="Arial" w:hAnsi="Arial" w:eastAsia="等线"/>
                <w:sz w:val="18"/>
                <w:lang w:val="en-US" w:eastAsia="zh-CN"/>
              </w:rPr>
              <w:t xml:space="preserve">Up to </w:t>
            </w:r>
            <w:r>
              <w:rPr>
                <w:rFonts w:hint="eastAsia" w:ascii="Arial" w:hAnsi="Arial" w:eastAsia="等线"/>
                <w:sz w:val="18"/>
                <w:lang w:val="en-US" w:eastAsia="zh-CN"/>
              </w:rPr>
              <w:t>2304</w:t>
            </w:r>
            <w:r>
              <w:rPr>
                <w:rFonts w:hint="default" w:ascii="Arial" w:hAnsi="Arial" w:eastAsia="等线"/>
                <w:sz w:val="18"/>
                <w:lang w:val="en-US" w:eastAsia="zh-CN"/>
              </w:rPr>
              <w:t xml:space="preserve"> Tx and Rx antenna elements</w:t>
            </w:r>
            <w:r>
              <w:rPr>
                <w:rFonts w:hint="eastAsia" w:ascii="Arial" w:hAnsi="Arial" w:eastAsia="等线"/>
                <w:sz w:val="18"/>
                <w:lang w:val="en-US" w:eastAsia="zh-CN"/>
              </w:rPr>
              <w:t>)</w:t>
            </w:r>
          </w:p>
        </w:tc>
        <w:tc>
          <w:tcPr>
            <w:tcW w:w="1438" w:type="pct"/>
            <w:shd w:val="clear" w:color="auto" w:fill="auto"/>
            <w:vAlign w:val="top"/>
          </w:tcPr>
          <w:p w14:paraId="768397C2">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5G with legacy antenna array </w:t>
            </w:r>
          </w:p>
          <w:p w14:paraId="7FE56BB0">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[192 antenna elements]</w:t>
            </w:r>
          </w:p>
        </w:tc>
      </w:tr>
      <w:tr w14:paraId="5456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4C2EFAEB">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9</w:t>
            </w:r>
          </w:p>
        </w:tc>
        <w:tc>
          <w:tcPr>
            <w:tcW w:w="968" w:type="pct"/>
            <w:vAlign w:val="top"/>
          </w:tcPr>
          <w:p w14:paraId="692FFDF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 GHz</w:t>
            </w:r>
          </w:p>
          <w:p w14:paraId="189B7221">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78066C13">
            <w:pPr>
              <w:keepNext/>
              <w:keepLines/>
              <w:suppressLineNumbers w:val="0"/>
              <w:spacing w:before="0" w:beforeAutospacing="0" w:after="0" w:afterAutospacing="0"/>
              <w:ind w:left="0" w:leftChars="0" w:right="0" w:rightChars="0"/>
              <w:jc w:val="both"/>
              <w:rPr>
                <w:rFonts w:hint="default"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73F8F4D3">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4C20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6" w:type="pct"/>
          </w:tcPr>
          <w:p w14:paraId="678F74E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10</w:t>
            </w:r>
          </w:p>
        </w:tc>
        <w:tc>
          <w:tcPr>
            <w:tcW w:w="968" w:type="pct"/>
            <w:vAlign w:val="top"/>
          </w:tcPr>
          <w:p w14:paraId="209E1DF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30GHz</w:t>
            </w:r>
          </w:p>
          <w:p w14:paraId="08A978D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6" w:type="pct"/>
            <w:vAlign w:val="top"/>
          </w:tcPr>
          <w:p w14:paraId="747E45FC">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8" w:type="pct"/>
            <w:shd w:val="clear" w:color="auto" w:fill="auto"/>
            <w:vAlign w:val="top"/>
          </w:tcPr>
          <w:p w14:paraId="1FE7A97D">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2F09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E13BF8C">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1: 6GR non-SBFD BS coexists with 6GR non-SBFD BS BS with larger antenna array than assumption in TR 38.921.</w:t>
            </w:r>
          </w:p>
          <w:p w14:paraId="64C3FCEB">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2: 6GR SBFD BS coexists with 6GR SBFD BS;</w:t>
            </w:r>
          </w:p>
          <w:p w14:paraId="6FC2B4B9">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3: The simulation assumption captured in TR38.803 is too aggressive with BS maximum output power up to 43dBm.</w:t>
            </w:r>
          </w:p>
        </w:tc>
      </w:tr>
    </w:tbl>
    <w:p w14:paraId="1730D519">
      <w:pPr>
        <w:tabs>
          <w:tab w:val="left" w:pos="2127"/>
        </w:tabs>
        <w:spacing w:after="0"/>
        <w:jc w:val="left"/>
        <w:rPr>
          <w:rFonts w:hint="eastAsia"/>
          <w:b w:val="0"/>
          <w:bCs w:val="0"/>
          <w:highlight w:val="none"/>
          <w:lang w:val="en-US" w:eastAsia="zh-CN"/>
        </w:rPr>
      </w:pPr>
      <w:r>
        <w:rPr>
          <w:rFonts w:hint="eastAsia"/>
          <w:b/>
          <w:bCs/>
          <w:lang w:val="en-US" w:eastAsia="zh-CN"/>
        </w:rPr>
        <w:t>Proposal 4</w:t>
      </w:r>
      <w:r>
        <w:rPr>
          <w:rFonts w:hint="eastAsia"/>
          <w:lang w:val="en-US" w:eastAsia="zh-CN"/>
        </w:rPr>
        <w:t xml:space="preserve">: for the 6GR coexistence study, propose to consider the simulation assumptions as listed in </w:t>
      </w:r>
      <w:r>
        <w:rPr>
          <w:rFonts w:hint="eastAsia"/>
          <w:b w:val="0"/>
          <w:bCs w:val="0"/>
          <w:highlight w:val="none"/>
          <w:lang w:val="en-US" w:eastAsia="zh-CN"/>
        </w:rPr>
        <w:t>Table Table 2.1.3-1 and Table 2.1.3-2.</w:t>
      </w:r>
    </w:p>
    <w:p w14:paraId="30B3B4E3">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2.1.3-1. general parameters for up to 7GHz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6003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4FA72D6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4121E4A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2491" w:type="dxa"/>
            <w:shd w:val="clear" w:color="auto" w:fill="BEBEBE" w:themeFill="background1" w:themeFillShade="BF"/>
          </w:tcPr>
          <w:p w14:paraId="454E1E1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2GHz</w:t>
            </w:r>
          </w:p>
        </w:tc>
        <w:tc>
          <w:tcPr>
            <w:tcW w:w="2491" w:type="dxa"/>
            <w:shd w:val="clear" w:color="auto" w:fill="BEBEBE" w:themeFill="background1" w:themeFillShade="BF"/>
            <w:vAlign w:val="top"/>
          </w:tcPr>
          <w:p w14:paraId="59CD32E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4GHz</w:t>
            </w:r>
          </w:p>
        </w:tc>
      </w:tr>
      <w:tr w14:paraId="61FF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1522A8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tcPr>
          <w:p w14:paraId="1EBB307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1C0DE94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4CBD69F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5EA049D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3782AFE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3C9231A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189774B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6051024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55256319">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r>
      <w:tr w14:paraId="0830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FB4B86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tcPr>
          <w:p w14:paraId="348D746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1E120A6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3A1F3F42">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r>
      <w:tr w14:paraId="7340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16AE59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tcPr>
          <w:p w14:paraId="467D922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r>
              <w:rPr>
                <w:rFonts w:hint="default"/>
                <w:b w:val="0"/>
                <w:bCs w:val="0"/>
                <w:highlight w:val="none"/>
                <w:lang w:val="en-US" w:eastAsia="zh-CN"/>
              </w:rPr>
              <w:t>Around 700 MHz: Up to 64 Tx and Rx antenna elements</w:t>
            </w:r>
          </w:p>
        </w:tc>
        <w:tc>
          <w:tcPr>
            <w:tcW w:w="2491" w:type="dxa"/>
          </w:tcPr>
          <w:p w14:paraId="12B4251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 xml:space="preserve">Around 4 GHz: Up to </w:t>
            </w:r>
            <w:r>
              <w:rPr>
                <w:rFonts w:hint="eastAsia"/>
                <w:b w:val="0"/>
                <w:bCs w:val="0"/>
                <w:highlight w:val="none"/>
                <w:lang w:val="en-US" w:eastAsia="zh-CN"/>
              </w:rPr>
              <w:t xml:space="preserve">288 </w:t>
            </w:r>
            <w:r>
              <w:rPr>
                <w:rFonts w:hint="default"/>
                <w:b w:val="0"/>
                <w:bCs w:val="0"/>
                <w:highlight w:val="none"/>
                <w:lang w:val="en-US" w:eastAsia="zh-CN"/>
              </w:rPr>
              <w:t>Tx and Rx antenna elements</w:t>
            </w:r>
          </w:p>
          <w:p w14:paraId="49A9EDB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vAlign w:val="top"/>
          </w:tcPr>
          <w:p w14:paraId="5E507F9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4 GHz: Up to 576 Tx and Rx antenna elements</w:t>
            </w:r>
          </w:p>
          <w:p w14:paraId="71A659E0">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r>
      <w:tr w14:paraId="7049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470113B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tcPr>
          <w:p w14:paraId="100E11D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tcPr>
          <w:p w14:paraId="0353EBE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vAlign w:val="top"/>
          </w:tcPr>
          <w:p w14:paraId="7C62978E">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Omini antenna</w:t>
            </w:r>
          </w:p>
        </w:tc>
      </w:tr>
      <w:tr w14:paraId="23DA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69CCE3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tcPr>
          <w:p w14:paraId="14F29D4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2B484D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784ECC9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4E6A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82DC19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tcPr>
          <w:p w14:paraId="2261216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2201678B">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06337F93">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r>
      <w:tr w14:paraId="02A3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FADCA0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tcPr>
          <w:p w14:paraId="72B9369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40E96BD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7E887230">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r w14:paraId="129B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D49C10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tcPr>
          <w:p w14:paraId="0030F6A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6D3F919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3F77EA2C">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r>
    </w:tbl>
    <w:p w14:paraId="43D1458F">
      <w:pPr>
        <w:numPr>
          <w:ilvl w:val="0"/>
          <w:numId w:val="0"/>
        </w:numPr>
        <w:tabs>
          <w:tab w:val="left" w:pos="2127"/>
        </w:tabs>
        <w:spacing w:after="0"/>
        <w:jc w:val="both"/>
        <w:rPr>
          <w:rFonts w:hint="default"/>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5E42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2153BB9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vAlign w:val="top"/>
          </w:tcPr>
          <w:p w14:paraId="325F3C2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Around 7GHz</w:t>
            </w:r>
          </w:p>
        </w:tc>
        <w:tc>
          <w:tcPr>
            <w:tcW w:w="2491" w:type="dxa"/>
            <w:shd w:val="clear" w:color="auto" w:fill="BEBEBE" w:themeFill="background1" w:themeFillShade="BF"/>
          </w:tcPr>
          <w:p w14:paraId="1E6D1A4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shd w:val="clear" w:color="auto" w:fill="BEBEBE" w:themeFill="background1" w:themeFillShade="BF"/>
          </w:tcPr>
          <w:p w14:paraId="1083EC1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BAB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A15C57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2438886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9C2A5B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1205D6C8">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46D7844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7BA9D9E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4D91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6D5F58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1041C68A">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7ABFDFF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59027FF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176B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178979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vAlign w:val="top"/>
          </w:tcPr>
          <w:p w14:paraId="6EFE521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7 GHz: Up to 2304 Tx and Rx antenna elements</w:t>
            </w:r>
          </w:p>
          <w:p w14:paraId="1D019366">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highlight w:val="none"/>
                <w:vertAlign w:val="baseline"/>
                <w:lang w:val="en-US" w:eastAsia="zh-CN"/>
              </w:rPr>
            </w:pPr>
          </w:p>
        </w:tc>
        <w:tc>
          <w:tcPr>
            <w:tcW w:w="2491" w:type="dxa"/>
          </w:tcPr>
          <w:p w14:paraId="05D9DA1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tcPr>
          <w:p w14:paraId="5769879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r>
      <w:tr w14:paraId="5E72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24775D4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vAlign w:val="top"/>
          </w:tcPr>
          <w:p w14:paraId="5308ACAC">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Omini antenna and</w:t>
            </w:r>
          </w:p>
          <w:p w14:paraId="305AEA89">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Beamforming with multiple omini antenna</w:t>
            </w:r>
          </w:p>
        </w:tc>
        <w:tc>
          <w:tcPr>
            <w:tcW w:w="2491" w:type="dxa"/>
          </w:tcPr>
          <w:p w14:paraId="331BADD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16525A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17F3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F3C0EA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11B0A1DB">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044444F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661453B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E3F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ED118B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vAlign w:val="top"/>
          </w:tcPr>
          <w:p w14:paraId="6CDF2B34">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60A410B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shd w:val="clear" w:color="auto" w:fill="auto"/>
            <w:vAlign w:val="top"/>
          </w:tcPr>
          <w:p w14:paraId="16CD127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r>
      <w:tr w14:paraId="30D6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EB81F9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6CE3CC0E">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6BAB799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18A33FD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4DA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991E7A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51339457">
            <w:pPr>
              <w:keepNext w:val="0"/>
              <w:keepLines w:val="0"/>
              <w:numPr>
                <w:ilvl w:val="0"/>
                <w:numId w:val="0"/>
              </w:numPr>
              <w:suppressLineNumbers w:val="0"/>
              <w:tabs>
                <w:tab w:val="left" w:pos="2127"/>
              </w:tabs>
              <w:spacing w:before="0" w:beforeAutospacing="0" w:after="0" w:afterAutospacing="0"/>
              <w:ind w:left="0" w:leftChars="0" w:right="0" w:rightChars="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38BC662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c>
          <w:tcPr>
            <w:tcW w:w="2491" w:type="dxa"/>
          </w:tcPr>
          <w:p w14:paraId="2469BAE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75C60BB3">
      <w:pPr>
        <w:numPr>
          <w:ilvl w:val="0"/>
          <w:numId w:val="0"/>
        </w:numPr>
        <w:tabs>
          <w:tab w:val="left" w:pos="2127"/>
        </w:tabs>
        <w:spacing w:after="0"/>
        <w:jc w:val="both"/>
        <w:rPr>
          <w:rFonts w:hint="default"/>
          <w:b w:val="0"/>
          <w:bCs w:val="0"/>
          <w:lang w:val="en-US" w:eastAsia="zh-CN"/>
        </w:rPr>
      </w:pPr>
    </w:p>
    <w:p w14:paraId="6878EFE8">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2.1.3-2. general parameters for 30GHz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1CED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0118E1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17E5B60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2491" w:type="dxa"/>
            <w:shd w:val="clear" w:color="auto" w:fill="BEBEBE" w:themeFill="background1" w:themeFillShade="BF"/>
          </w:tcPr>
          <w:p w14:paraId="208EAF4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40GHz</w:t>
            </w:r>
          </w:p>
        </w:tc>
        <w:tc>
          <w:tcPr>
            <w:tcW w:w="2491" w:type="dxa"/>
            <w:shd w:val="clear" w:color="auto" w:fill="BEBEBE" w:themeFill="background1" w:themeFillShade="BF"/>
          </w:tcPr>
          <w:p w14:paraId="36F2048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Remarks</w:t>
            </w:r>
          </w:p>
        </w:tc>
      </w:tr>
      <w:tr w14:paraId="3D3C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587FB9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5FA0074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6D1AEDD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330563F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1F970AD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63B78B8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176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24FA26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3C3D48E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12ABA48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7C577DC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756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2B3AC2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Antenna configuration</w:t>
            </w:r>
          </w:p>
        </w:tc>
        <w:tc>
          <w:tcPr>
            <w:tcW w:w="2490" w:type="dxa"/>
            <w:vAlign w:val="top"/>
          </w:tcPr>
          <w:p w14:paraId="1B46A33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default"/>
                <w:b w:val="0"/>
                <w:bCs w:val="0"/>
                <w:highlight w:val="none"/>
                <w:lang w:val="en-US" w:eastAsia="zh-CN"/>
              </w:rPr>
              <w:t>Around 30 GHz: Up to 4096 Tx and Rx antenna elements</w:t>
            </w:r>
          </w:p>
        </w:tc>
        <w:tc>
          <w:tcPr>
            <w:tcW w:w="2491" w:type="dxa"/>
            <w:vAlign w:val="top"/>
          </w:tcPr>
          <w:p w14:paraId="4C034BE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894640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941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18C4F4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1E2B710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38.803</w:t>
            </w:r>
          </w:p>
        </w:tc>
        <w:tc>
          <w:tcPr>
            <w:tcW w:w="2491" w:type="dxa"/>
            <w:vAlign w:val="top"/>
          </w:tcPr>
          <w:p w14:paraId="603540C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5A232B5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C8B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6896E6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shd w:val="clear" w:color="auto" w:fill="auto"/>
            <w:vAlign w:val="top"/>
          </w:tcPr>
          <w:p w14:paraId="12628AC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43B70D9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tcPr>
          <w:p w14:paraId="4D29A6E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7BE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D50E7D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4CB7EAC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560F864B">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35A2E5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31B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845156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776F69C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4A00EDA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5F751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229A58E4">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t>RP-220335</w:t>
      </w:r>
      <w:r>
        <w:rPr>
          <w:rFonts w:hint="eastAsia"/>
          <w:sz w:val="20"/>
          <w:szCs w:val="20"/>
          <w:lang w:val="en-US" w:eastAsia="zh-CN"/>
        </w:rPr>
        <w:t xml:space="preserve">, </w:t>
      </w:r>
      <w:r>
        <w:rPr>
          <w:rFonts w:hint="eastAsia"/>
          <w:sz w:val="20"/>
          <w:szCs w:val="20"/>
          <w:lang w:val="en-US" w:eastAsia="ja-JP"/>
        </w:rPr>
        <w:t>CR to TR 38.803: Addition of array antenna model extension in subclause 5.2.3</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221FE80E">
      <w:pPr>
        <w:pStyle w:val="58"/>
        <w:tabs>
          <w:tab w:val="left" w:pos="567"/>
          <w:tab w:val="clear" w:pos="1985"/>
        </w:tabs>
        <w:adjustRightInd w:val="0"/>
        <w:ind w:left="510" w:hanging="510"/>
      </w:pPr>
      <w:r>
        <w:rPr>
          <w:rFonts w:hint="eastAsia"/>
          <w:lang w:val="en-US" w:eastAsia="zh-CN"/>
        </w:rPr>
        <w:t xml:space="preserve">Annex </w:t>
      </w:r>
    </w:p>
    <w:p w14:paraId="4379E10C">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14:paraId="577CEB45">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DB65A8C">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14:paraId="41580CD3">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743687E6">
      <w:pPr>
        <w:rPr>
          <w:rFonts w:hint="eastAsia" w:hAnsi="Cambria Math"/>
          <w:i w:val="0"/>
          <w:highlight w:val="none"/>
          <w:lang w:val="en-US" w:eastAsia="zh-CN"/>
        </w:rPr>
      </w:pPr>
      <w:r>
        <w:rPr>
          <w:rFonts w:hint="eastAsia" w:hAnsi="Cambria Math"/>
          <w:i w:val="0"/>
          <w:highlight w:val="none"/>
          <w:lang w:val="en-US" w:eastAsia="zh-CN"/>
        </w:rPr>
        <w:t xml:space="preserve">where, </w:t>
      </w:r>
    </w:p>
    <w:p w14:paraId="36AADCC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17EFD16B">
      <w:pPr>
        <w:rPr>
          <w:rFonts w:hint="eastAsia" w:hAnsi="Cambria Math"/>
          <w:i w:val="0"/>
          <w:highlight w:val="none"/>
          <w:lang w:val="en-US" w:eastAsia="zh-CN"/>
        </w:rPr>
      </w:pPr>
    </w:p>
    <w:p w14:paraId="73E2AF09">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14:paraId="0A3D8C2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3FE1C012">
      <w:pPr>
        <w:rPr>
          <w:rFonts w:hint="eastAsia" w:hAnsi="Cambria Math"/>
          <w:i w:val="0"/>
          <w:highlight w:val="none"/>
          <w:lang w:val="en-US" w:eastAsia="zh-CN"/>
        </w:rPr>
      </w:pPr>
      <w:r>
        <w:rPr>
          <w:rFonts w:hint="eastAsia" w:hAnsi="Cambria Math"/>
          <w:i w:val="0"/>
          <w:highlight w:val="none"/>
          <w:lang w:val="en-US" w:eastAsia="zh-CN"/>
        </w:rPr>
        <w:t xml:space="preserve">where, </w:t>
      </w:r>
    </w:p>
    <w:p w14:paraId="0BD63568">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6CB75B2">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27343E83">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14:paraId="2BB2ECF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12C086A3">
      <w:pPr>
        <w:rPr>
          <w:rFonts w:hint="eastAsia" w:hAnsi="Cambria Math"/>
          <w:i w:val="0"/>
          <w:highlight w:val="none"/>
          <w:lang w:val="en-US" w:eastAsia="zh-CN"/>
        </w:rPr>
      </w:pPr>
      <w:r>
        <w:rPr>
          <w:rFonts w:hint="eastAsia" w:hAnsi="Cambria Math"/>
          <w:i w:val="0"/>
          <w:highlight w:val="none"/>
          <w:lang w:val="en-US" w:eastAsia="zh-CN"/>
        </w:rPr>
        <w:t xml:space="preserve">where, </w:t>
      </w:r>
    </w:p>
    <w:p w14:paraId="40BC60CC">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76093939">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14:paraId="3391B894">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14:paraId="201AD425">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2B5F8"/>
    <w:multiLevelType w:val="singleLevel"/>
    <w:tmpl w:val="CDE2B5F8"/>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C21CB36"/>
    <w:multiLevelType w:val="singleLevel"/>
    <w:tmpl w:val="EC21CB36"/>
    <w:lvl w:ilvl="0" w:tentative="0">
      <w:start w:val="1"/>
      <w:numFmt w:val="decimal"/>
      <w:suff w:val="space"/>
      <w:lvlText w:val="%1)"/>
      <w:lvlJc w:val="left"/>
    </w:lvl>
  </w:abstractNum>
  <w:abstractNum w:abstractNumId="3">
    <w:nsid w:val="0B99A10C"/>
    <w:multiLevelType w:val="singleLevel"/>
    <w:tmpl w:val="0B99A10C"/>
    <w:lvl w:ilvl="0" w:tentative="0">
      <w:start w:val="1"/>
      <w:numFmt w:val="decimal"/>
      <w:suff w:val="space"/>
      <w:lvlText w:val="%1)"/>
      <w:lvlJc w:val="left"/>
    </w:lvl>
  </w:abstractNum>
  <w:abstractNum w:abstractNumId="4">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5">
    <w:nsid w:val="21670900"/>
    <w:multiLevelType w:val="singleLevel"/>
    <w:tmpl w:val="21670900"/>
    <w:lvl w:ilvl="0" w:tentative="0">
      <w:start w:val="1"/>
      <w:numFmt w:val="decimal"/>
      <w:suff w:val="space"/>
      <w:lvlText w:val="%1)"/>
      <w:lvlJc w:val="left"/>
    </w:lvl>
  </w:abstractNum>
  <w:abstractNum w:abstractNumId="6">
    <w:nsid w:val="3DC3480B"/>
    <w:multiLevelType w:val="singleLevel"/>
    <w:tmpl w:val="3DC3480B"/>
    <w:lvl w:ilvl="0" w:tentative="0">
      <w:start w:val="1"/>
      <w:numFmt w:val="decimal"/>
      <w:suff w:val="space"/>
      <w:lvlText w:val="%1)"/>
      <w:lvlJc w:val="left"/>
    </w:lvl>
  </w:abstractNum>
  <w:abstractNum w:abstractNumId="7">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9">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9"/>
  </w:num>
  <w:num w:numId="2">
    <w:abstractNumId w:val="12"/>
  </w:num>
  <w:num w:numId="3">
    <w:abstractNumId w:val="10"/>
  </w:num>
  <w:num w:numId="4">
    <w:abstractNumId w:val="8"/>
  </w:num>
  <w:num w:numId="5">
    <w:abstractNumId w:val="4"/>
  </w:num>
  <w:num w:numId="6">
    <w:abstractNumId w:val="7"/>
  </w:num>
  <w:num w:numId="7">
    <w:abstractNumId w:val="11"/>
  </w:num>
  <w:num w:numId="8">
    <w:abstractNumId w:val="2"/>
  </w:num>
  <w:num w:numId="9">
    <w:abstractNumId w:val="0"/>
  </w:num>
  <w:num w:numId="10">
    <w:abstractNumId w:val="5"/>
  </w:num>
  <w:num w:numId="11">
    <w:abstractNumId w:val="6"/>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538F3"/>
    <w:rsid w:val="147544B0"/>
    <w:rsid w:val="14767D44"/>
    <w:rsid w:val="14772204"/>
    <w:rsid w:val="14794C74"/>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7139"/>
    <w:rsid w:val="1CDD6D9F"/>
    <w:rsid w:val="1CE13063"/>
    <w:rsid w:val="1CE2616E"/>
    <w:rsid w:val="1CE819CC"/>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C1A0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908B6"/>
    <w:rsid w:val="3B2D161A"/>
    <w:rsid w:val="3B2F1534"/>
    <w:rsid w:val="3B342408"/>
    <w:rsid w:val="3B3A132E"/>
    <w:rsid w:val="3B456D7F"/>
    <w:rsid w:val="3B4A51A8"/>
    <w:rsid w:val="3B4E4C98"/>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44875"/>
    <w:rsid w:val="61E728F9"/>
    <w:rsid w:val="61EA4E6B"/>
    <w:rsid w:val="61ED6709"/>
    <w:rsid w:val="61F061FA"/>
    <w:rsid w:val="61F3667F"/>
    <w:rsid w:val="61F43F82"/>
    <w:rsid w:val="61F67369"/>
    <w:rsid w:val="61FB110C"/>
    <w:rsid w:val="61FB56BF"/>
    <w:rsid w:val="61FD1294"/>
    <w:rsid w:val="6200643D"/>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4218F"/>
    <w:rsid w:val="69344C1E"/>
    <w:rsid w:val="693755A6"/>
    <w:rsid w:val="693C318F"/>
    <w:rsid w:val="693C5AA5"/>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93A43"/>
    <w:rsid w:val="6B1E05E1"/>
    <w:rsid w:val="6B2111D2"/>
    <w:rsid w:val="6B21318E"/>
    <w:rsid w:val="6B227A15"/>
    <w:rsid w:val="6B2833E7"/>
    <w:rsid w:val="6B285741"/>
    <w:rsid w:val="6B313EE5"/>
    <w:rsid w:val="6B317667"/>
    <w:rsid w:val="6B340EF1"/>
    <w:rsid w:val="6B3434BB"/>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F6633"/>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B004879"/>
    <w:rsid w:val="7B0072B4"/>
    <w:rsid w:val="7B010C26"/>
    <w:rsid w:val="7B0211AC"/>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C5447"/>
    <w:rsid w:val="7FC55D23"/>
    <w:rsid w:val="7FD10FC1"/>
    <w:rsid w:val="7FD277AE"/>
    <w:rsid w:val="7FDA2CD0"/>
    <w:rsid w:val="7FDB769F"/>
    <w:rsid w:val="7FDF548C"/>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emf"/><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16</Pages>
  <Words>631</Words>
  <Characters>3471</Characters>
  <Lines>82</Lines>
  <Paragraphs>23</Paragraphs>
  <TotalTime>0</TotalTime>
  <ScaleCrop>false</ScaleCrop>
  <LinksUpToDate>false</LinksUpToDate>
  <CharactersWithSpaces>4128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2025-11-07T13:57:47Z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